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6A30" w14:textId="4ED1A25D" w:rsidR="00C054A0" w:rsidRPr="004B2028" w:rsidRDefault="00C054A0" w:rsidP="00D32416">
      <w:pPr>
        <w:spacing w:line="360" w:lineRule="auto"/>
        <w:rPr>
          <w:rFonts w:cstheme="minorHAnsi"/>
          <w:b/>
        </w:rPr>
      </w:pPr>
      <w:r w:rsidRPr="004B2028">
        <w:rPr>
          <w:rFonts w:cstheme="minorHAnsi"/>
          <w:b/>
        </w:rPr>
        <w:t xml:space="preserve">Τίτλος διδακτορικού: </w:t>
      </w:r>
    </w:p>
    <w:p w14:paraId="55809DFC" w14:textId="77777777" w:rsidR="00C054A0" w:rsidRPr="00C054A0" w:rsidRDefault="00C054A0" w:rsidP="00D32416">
      <w:pPr>
        <w:spacing w:line="360" w:lineRule="auto"/>
        <w:rPr>
          <w:rFonts w:cstheme="minorHAnsi"/>
          <w:b/>
          <w:highlight w:val="green"/>
        </w:rPr>
      </w:pPr>
      <w:r>
        <w:rPr>
          <w:rFonts w:ascii="Helvetica" w:hAnsi="Helvetica" w:cs="Helvetica"/>
          <w:color w:val="1D2228"/>
          <w:sz w:val="20"/>
          <w:szCs w:val="20"/>
          <w:shd w:val="clear" w:color="auto" w:fill="FFFFFF"/>
        </w:rPr>
        <w:t>" Απεικονιστική επιβεβαίωση τοποθέτησης</w:t>
      </w:r>
      <w:r w:rsidR="004B2028">
        <w:rPr>
          <w:rFonts w:ascii="Helvetica" w:hAnsi="Helvetica" w:cs="Helvetica"/>
          <w:color w:val="1D2228"/>
          <w:sz w:val="20"/>
          <w:szCs w:val="20"/>
          <w:shd w:val="clear" w:color="auto" w:fill="FFFFFF"/>
        </w:rPr>
        <w:t xml:space="preserve"> ασθενών με εντοπισμένο καρκίνο προστάτη </w:t>
      </w:r>
      <w:r>
        <w:rPr>
          <w:rFonts w:ascii="Helvetica" w:hAnsi="Helvetica" w:cs="Helvetica"/>
          <w:color w:val="1D2228"/>
          <w:sz w:val="20"/>
          <w:szCs w:val="20"/>
          <w:shd w:val="clear" w:color="auto" w:fill="FFFFFF"/>
        </w:rPr>
        <w:t xml:space="preserve"> στην ακτινοχειρουργική αντιμετώπιση</w:t>
      </w:r>
      <w:r w:rsidR="004B2028">
        <w:rPr>
          <w:rFonts w:ascii="Helvetica" w:hAnsi="Helvetica" w:cs="Helvetica"/>
          <w:color w:val="1D2228"/>
          <w:sz w:val="20"/>
          <w:szCs w:val="20"/>
          <w:shd w:val="clear" w:color="auto" w:fill="FFFFFF"/>
        </w:rPr>
        <w:t xml:space="preserve"> μετά από σχεδιασμό με </w:t>
      </w:r>
      <w:r w:rsidR="004B2028">
        <w:rPr>
          <w:rFonts w:ascii="Helvetica" w:hAnsi="Helvetica" w:cs="Helvetica"/>
          <w:color w:val="1D2228"/>
          <w:sz w:val="20"/>
          <w:szCs w:val="20"/>
          <w:shd w:val="clear" w:color="auto" w:fill="FFFFFF"/>
          <w:lang w:val="en-US"/>
        </w:rPr>
        <w:t>MRI</w:t>
      </w:r>
      <w:r w:rsidR="004B2028" w:rsidRPr="004B2028">
        <w:rPr>
          <w:rFonts w:ascii="Helvetica" w:hAnsi="Helvetica" w:cs="Helvetica"/>
          <w:color w:val="1D2228"/>
          <w:sz w:val="20"/>
          <w:szCs w:val="20"/>
          <w:shd w:val="clear" w:color="auto" w:fill="FFFFFF"/>
        </w:rPr>
        <w:t xml:space="preserve"> </w:t>
      </w:r>
      <w:r w:rsidR="004B2028">
        <w:rPr>
          <w:rFonts w:ascii="Helvetica" w:hAnsi="Helvetica" w:cs="Helvetica"/>
          <w:color w:val="1D2228"/>
          <w:sz w:val="20"/>
          <w:szCs w:val="20"/>
          <w:shd w:val="clear" w:color="auto" w:fill="FFFFFF"/>
        </w:rPr>
        <w:t xml:space="preserve">και </w:t>
      </w:r>
      <w:r w:rsidR="004B2028">
        <w:rPr>
          <w:rFonts w:ascii="Helvetica" w:hAnsi="Helvetica" w:cs="Helvetica"/>
          <w:color w:val="1D2228"/>
          <w:sz w:val="20"/>
          <w:szCs w:val="20"/>
          <w:shd w:val="clear" w:color="auto" w:fill="FFFFFF"/>
          <w:lang w:val="en-US"/>
        </w:rPr>
        <w:t>CT</w:t>
      </w:r>
      <w:r>
        <w:rPr>
          <w:rFonts w:ascii="Helvetica" w:hAnsi="Helvetica" w:cs="Helvetica"/>
          <w:color w:val="1D2228"/>
          <w:sz w:val="20"/>
          <w:szCs w:val="20"/>
          <w:shd w:val="clear" w:color="auto" w:fill="FFFFFF"/>
        </w:rPr>
        <w:t xml:space="preserve">, </w:t>
      </w:r>
      <w:r w:rsidR="004B2028">
        <w:rPr>
          <w:rFonts w:ascii="Helvetica" w:hAnsi="Helvetica" w:cs="Helvetica"/>
          <w:color w:val="1D2228"/>
          <w:sz w:val="20"/>
          <w:szCs w:val="20"/>
          <w:shd w:val="clear" w:color="auto" w:fill="FFFFFF"/>
        </w:rPr>
        <w:t>σ</w:t>
      </w:r>
      <w:r>
        <w:rPr>
          <w:rFonts w:ascii="Helvetica" w:hAnsi="Helvetica" w:cs="Helvetica"/>
          <w:color w:val="1D2228"/>
          <w:sz w:val="20"/>
          <w:szCs w:val="20"/>
          <w:shd w:val="clear" w:color="auto" w:fill="FFFFFF"/>
        </w:rPr>
        <w:t>φάλματα λόγω κίνησης</w:t>
      </w:r>
      <w:r w:rsidR="00F05C85">
        <w:rPr>
          <w:rFonts w:ascii="Helvetica" w:hAnsi="Helvetica" w:cs="Helvetica"/>
          <w:color w:val="1D2228"/>
          <w:sz w:val="20"/>
          <w:szCs w:val="20"/>
          <w:shd w:val="clear" w:color="auto" w:fill="FFFFFF"/>
        </w:rPr>
        <w:t xml:space="preserve"> και ποιότητα ζωής των ασθενών</w:t>
      </w:r>
      <w:r>
        <w:rPr>
          <w:rFonts w:ascii="Helvetica" w:hAnsi="Helvetica" w:cs="Helvetica"/>
          <w:color w:val="1D2228"/>
          <w:sz w:val="20"/>
          <w:szCs w:val="20"/>
          <w:shd w:val="clear" w:color="auto" w:fill="FFFFFF"/>
        </w:rPr>
        <w:t>"</w:t>
      </w:r>
    </w:p>
    <w:p w14:paraId="4239B1A0" w14:textId="77777777" w:rsidR="00C054A0" w:rsidRDefault="00C054A0" w:rsidP="00D32416">
      <w:pPr>
        <w:spacing w:line="360" w:lineRule="auto"/>
        <w:rPr>
          <w:rFonts w:cstheme="minorHAnsi"/>
          <w:b/>
          <w:highlight w:val="green"/>
        </w:rPr>
      </w:pPr>
    </w:p>
    <w:p w14:paraId="3A60223D" w14:textId="77777777" w:rsidR="000209A8" w:rsidRPr="00D32416" w:rsidRDefault="000209A8" w:rsidP="00D32416">
      <w:pPr>
        <w:spacing w:line="360" w:lineRule="auto"/>
        <w:rPr>
          <w:rFonts w:cstheme="minorHAnsi"/>
          <w:b/>
        </w:rPr>
      </w:pPr>
      <w:r w:rsidRPr="00D32416">
        <w:rPr>
          <w:rFonts w:cstheme="minorHAnsi"/>
          <w:b/>
        </w:rPr>
        <w:t>Εισαγωγή</w:t>
      </w:r>
    </w:p>
    <w:p w14:paraId="150E5335" w14:textId="77777777" w:rsidR="00523CC3" w:rsidRPr="00EF2861" w:rsidRDefault="00654590" w:rsidP="00D32416">
      <w:pPr>
        <w:spacing w:line="360" w:lineRule="auto"/>
        <w:ind w:firstLine="720"/>
        <w:rPr>
          <w:rFonts w:cstheme="minorHAnsi"/>
        </w:rPr>
      </w:pPr>
      <w:r w:rsidRPr="00D32416">
        <w:rPr>
          <w:rFonts w:cstheme="minorHAnsi"/>
        </w:rPr>
        <w:t>Ο καρκίνος του προστάτη αποτελεί τη δεύτερη πιο συχνή κακοήθεια, παγκοσμίως, στους άνδρες</w:t>
      </w:r>
      <w:r w:rsidR="00B027C7" w:rsidRPr="00D32416">
        <w:rPr>
          <w:rFonts w:cstheme="minorHAnsi"/>
        </w:rPr>
        <w:t xml:space="preserve"> [1]</w:t>
      </w:r>
      <w:r w:rsidRPr="00D32416">
        <w:rPr>
          <w:rFonts w:cstheme="minorHAnsi"/>
        </w:rPr>
        <w:t>.</w:t>
      </w:r>
      <w:r w:rsidR="00E67525" w:rsidRPr="00D32416">
        <w:rPr>
          <w:rFonts w:cstheme="minorHAnsi"/>
        </w:rPr>
        <w:t xml:space="preserve"> </w:t>
      </w:r>
      <w:r w:rsidR="00B027C7" w:rsidRPr="00D32416">
        <w:rPr>
          <w:rFonts w:cstheme="minorHAnsi"/>
        </w:rPr>
        <w:t xml:space="preserve">Σε αναπτυγμένες χώρες, διαγιγνώσκεται όταν ο όγκος εντοπίζεται ενδοπροστατικά, λόγω του </w:t>
      </w:r>
      <w:r w:rsidR="00B027C7" w:rsidRPr="00D32416">
        <w:rPr>
          <w:rFonts w:cstheme="minorHAnsi"/>
          <w:lang w:val="en-US"/>
        </w:rPr>
        <w:t>screening</w:t>
      </w:r>
      <w:r w:rsidR="00B027C7" w:rsidRPr="00D32416">
        <w:rPr>
          <w:rFonts w:cstheme="minorHAnsi"/>
        </w:rPr>
        <w:t xml:space="preserve"> με τη δοκιμασία του ειδικού προστατικού αντιγόνου </w:t>
      </w:r>
      <w:r w:rsidRPr="00D32416">
        <w:rPr>
          <w:rFonts w:cstheme="minorHAnsi"/>
          <w:lang w:val="en-US"/>
        </w:rPr>
        <w:t>prostate</w:t>
      </w:r>
      <w:r w:rsidRPr="00D32416">
        <w:rPr>
          <w:rFonts w:cstheme="minorHAnsi"/>
        </w:rPr>
        <w:t>-</w:t>
      </w:r>
      <w:r w:rsidRPr="00D32416">
        <w:rPr>
          <w:rFonts w:cstheme="minorHAnsi"/>
          <w:lang w:val="en-US"/>
        </w:rPr>
        <w:t>specific</w:t>
      </w:r>
      <w:r w:rsidRPr="00D32416">
        <w:rPr>
          <w:rFonts w:cstheme="minorHAnsi"/>
        </w:rPr>
        <w:t xml:space="preserve"> </w:t>
      </w:r>
      <w:r w:rsidRPr="00D32416">
        <w:rPr>
          <w:rFonts w:cstheme="minorHAnsi"/>
          <w:lang w:val="en-US"/>
        </w:rPr>
        <w:t>antigen</w:t>
      </w:r>
      <w:r w:rsidRPr="00D32416">
        <w:rPr>
          <w:rFonts w:cstheme="minorHAnsi"/>
        </w:rPr>
        <w:t xml:space="preserve"> (</w:t>
      </w:r>
      <w:r w:rsidRPr="00D32416">
        <w:rPr>
          <w:rFonts w:cstheme="minorHAnsi"/>
          <w:lang w:val="en-US"/>
        </w:rPr>
        <w:t>PSA</w:t>
      </w:r>
      <w:r w:rsidRPr="00D32416">
        <w:rPr>
          <w:rFonts w:cstheme="minorHAnsi"/>
        </w:rPr>
        <w:t>)[</w:t>
      </w:r>
      <w:hyperlink r:id="rId7" w:history="1">
        <w:r w:rsidRPr="00D32416">
          <w:rPr>
            <w:rStyle w:val="-"/>
            <w:rFonts w:cstheme="minorHAnsi"/>
            <w:color w:val="auto"/>
            <w:u w:val="none"/>
          </w:rPr>
          <w:t>2</w:t>
        </w:r>
      </w:hyperlink>
      <w:r w:rsidRPr="00D32416">
        <w:rPr>
          <w:rFonts w:cstheme="minorHAnsi"/>
        </w:rPr>
        <w:t>].</w:t>
      </w:r>
      <w:r w:rsidR="00D318A0" w:rsidRPr="00D32416">
        <w:rPr>
          <w:rFonts w:cstheme="minorHAnsi"/>
        </w:rPr>
        <w:t xml:space="preserve"> </w:t>
      </w:r>
      <w:r w:rsidR="00B027C7" w:rsidRPr="00D32416">
        <w:rPr>
          <w:rFonts w:cstheme="minorHAnsi"/>
        </w:rPr>
        <w:t>Σε νεοδιαγνωσθέντα καρκινώματα, οι πιο σημαντικοί παράγοντες για τη</w:t>
      </w:r>
      <w:r w:rsidR="00D318A0" w:rsidRPr="00D32416">
        <w:rPr>
          <w:rFonts w:cstheme="minorHAnsi"/>
        </w:rPr>
        <w:t xml:space="preserve">ν ταξινόμηση και τη </w:t>
      </w:r>
      <w:r w:rsidR="00B027C7" w:rsidRPr="00D32416">
        <w:rPr>
          <w:rFonts w:cstheme="minorHAnsi"/>
        </w:rPr>
        <w:t xml:space="preserve"> λήψη της θεραπευτικής απόφασης είναι οι </w:t>
      </w:r>
      <w:r w:rsidR="00523CC3" w:rsidRPr="00D32416">
        <w:rPr>
          <w:rFonts w:cstheme="minorHAnsi"/>
        </w:rPr>
        <w:t xml:space="preserve">εξής </w:t>
      </w:r>
      <w:r w:rsidR="00B027C7" w:rsidRPr="00D32416">
        <w:rPr>
          <w:rFonts w:cstheme="minorHAnsi"/>
        </w:rPr>
        <w:t>ακόλουθοι</w:t>
      </w:r>
      <w:r w:rsidR="00523CC3" w:rsidRPr="00D32416">
        <w:rPr>
          <w:rFonts w:cstheme="minorHAnsi"/>
        </w:rPr>
        <w:t>:</w:t>
      </w:r>
      <w:r w:rsidR="00B027C7" w:rsidRPr="00D32416">
        <w:rPr>
          <w:rFonts w:cstheme="minorHAnsi"/>
        </w:rPr>
        <w:t xml:space="preserve"> </w:t>
      </w:r>
      <w:r w:rsidR="00E417F7" w:rsidRPr="00D32416">
        <w:rPr>
          <w:rFonts w:cstheme="minorHAnsi"/>
        </w:rPr>
        <w:t>Α</w:t>
      </w:r>
      <w:r w:rsidR="00523CC3" w:rsidRPr="00D32416">
        <w:rPr>
          <w:rFonts w:cstheme="minorHAnsi"/>
        </w:rPr>
        <w:t>) Ανατομική έκταση της νόσου (μέγεθος όγκου, αριθμός – επίπεδο διηθημένων λεμφαδένων, παρουσία απομακρυσμένων μεταστάσεων</w:t>
      </w:r>
      <w:r w:rsidRPr="00D32416">
        <w:rPr>
          <w:rFonts w:cstheme="minorHAnsi"/>
        </w:rPr>
        <w:t xml:space="preserve"> [</w:t>
      </w:r>
      <w:r w:rsidRPr="00D32416">
        <w:rPr>
          <w:rFonts w:cstheme="minorHAnsi"/>
          <w:lang w:val="en-US"/>
        </w:rPr>
        <w:t>TNM</w:t>
      </w:r>
      <w:r w:rsidR="00523CC3" w:rsidRPr="00D32416">
        <w:rPr>
          <w:rFonts w:cstheme="minorHAnsi"/>
        </w:rPr>
        <w:t xml:space="preserve"> σταδιοποίηση]</w:t>
      </w:r>
      <w:r w:rsidRPr="00D32416">
        <w:rPr>
          <w:rFonts w:cstheme="minorHAnsi"/>
        </w:rPr>
        <w:t>)</w:t>
      </w:r>
      <w:r w:rsidR="00523CC3" w:rsidRPr="00D32416">
        <w:rPr>
          <w:rFonts w:cstheme="minorHAnsi"/>
        </w:rPr>
        <w:t>.</w:t>
      </w:r>
      <w:r w:rsidR="00E417F7" w:rsidRPr="00D32416">
        <w:rPr>
          <w:rFonts w:cstheme="minorHAnsi"/>
        </w:rPr>
        <w:t xml:space="preserve"> </w:t>
      </w:r>
      <w:r w:rsidR="00523CC3" w:rsidRPr="00D32416">
        <w:rPr>
          <w:rFonts w:cstheme="minorHAnsi"/>
        </w:rPr>
        <w:t xml:space="preserve">Β) Ιστολογικό </w:t>
      </w:r>
      <w:r w:rsidRPr="00D32416">
        <w:rPr>
          <w:rFonts w:cstheme="minorHAnsi"/>
          <w:lang w:val="en-US"/>
        </w:rPr>
        <w:t>grade</w:t>
      </w:r>
      <w:r w:rsidRPr="00D32416">
        <w:rPr>
          <w:rFonts w:cstheme="minorHAnsi"/>
        </w:rPr>
        <w:t xml:space="preserve"> (</w:t>
      </w:r>
      <w:r w:rsidRPr="00D32416">
        <w:rPr>
          <w:rFonts w:cstheme="minorHAnsi"/>
          <w:lang w:val="en-US"/>
        </w:rPr>
        <w:t>Gleason</w:t>
      </w:r>
      <w:r w:rsidRPr="00D32416">
        <w:rPr>
          <w:rFonts w:cstheme="minorHAnsi"/>
        </w:rPr>
        <w:t xml:space="preserve"> </w:t>
      </w:r>
      <w:r w:rsidRPr="00D32416">
        <w:rPr>
          <w:rFonts w:cstheme="minorHAnsi"/>
          <w:lang w:val="en-US"/>
        </w:rPr>
        <w:t>score</w:t>
      </w:r>
      <w:r w:rsidRPr="00D32416">
        <w:rPr>
          <w:rFonts w:cstheme="minorHAnsi"/>
        </w:rPr>
        <w:t>/</w:t>
      </w:r>
      <w:r w:rsidRPr="00D32416">
        <w:rPr>
          <w:rFonts w:cstheme="minorHAnsi"/>
          <w:lang w:val="en-US"/>
        </w:rPr>
        <w:t>grade</w:t>
      </w:r>
      <w:r w:rsidRPr="00D32416">
        <w:rPr>
          <w:rFonts w:cstheme="minorHAnsi"/>
        </w:rPr>
        <w:t xml:space="preserve"> </w:t>
      </w:r>
      <w:r w:rsidRPr="00D32416">
        <w:rPr>
          <w:rFonts w:cstheme="minorHAnsi"/>
          <w:lang w:val="en-US"/>
        </w:rPr>
        <w:t>group</w:t>
      </w:r>
      <w:r w:rsidRPr="00D32416">
        <w:rPr>
          <w:rFonts w:cstheme="minorHAnsi"/>
        </w:rPr>
        <w:t xml:space="preserve">) </w:t>
      </w:r>
      <w:r w:rsidR="00523CC3" w:rsidRPr="00D32416">
        <w:rPr>
          <w:rFonts w:cstheme="minorHAnsi"/>
        </w:rPr>
        <w:t>και μοριακά χαρακτηριστικά του όγκου.</w:t>
      </w:r>
      <w:r w:rsidR="00E417F7" w:rsidRPr="00D32416">
        <w:rPr>
          <w:rFonts w:cstheme="minorHAnsi"/>
        </w:rPr>
        <w:t xml:space="preserve"> </w:t>
      </w:r>
      <w:r w:rsidR="00523CC3" w:rsidRPr="00D32416">
        <w:rPr>
          <w:rFonts w:cstheme="minorHAnsi"/>
        </w:rPr>
        <w:t xml:space="preserve">Γ) Επίπεδο ορού </w:t>
      </w:r>
      <w:r w:rsidRPr="00D32416">
        <w:rPr>
          <w:rFonts w:cstheme="minorHAnsi"/>
          <w:lang w:val="en-US"/>
        </w:rPr>
        <w:t>PSA</w:t>
      </w:r>
      <w:r w:rsidR="00523CC3" w:rsidRPr="00D32416">
        <w:rPr>
          <w:rFonts w:cstheme="minorHAnsi"/>
        </w:rPr>
        <w:t>.</w:t>
      </w:r>
      <w:r w:rsidR="00E417F7" w:rsidRPr="00D32416">
        <w:rPr>
          <w:rFonts w:cstheme="minorHAnsi"/>
        </w:rPr>
        <w:t xml:space="preserve"> </w:t>
      </w:r>
      <w:r w:rsidR="00523CC3" w:rsidRPr="00D32416">
        <w:rPr>
          <w:rFonts w:cstheme="minorHAnsi"/>
        </w:rPr>
        <w:t>Δ) Εκτιμώμενη έκβαση με διαφορετικές θεραπείες. Ε) Εμφάνιση τυχών παρενεργειών από κάθε θεραπευτική επιλογή.</w:t>
      </w:r>
      <w:r w:rsidR="00E417F7" w:rsidRPr="00D32416">
        <w:rPr>
          <w:rFonts w:cstheme="minorHAnsi"/>
        </w:rPr>
        <w:t xml:space="preserve"> </w:t>
      </w:r>
      <w:r w:rsidR="00523CC3" w:rsidRPr="00D32416">
        <w:rPr>
          <w:rFonts w:cstheme="minorHAnsi"/>
        </w:rPr>
        <w:t>Ζ) Γενική κατάσταση ασθενούς, ηλικία, συννοσηρότητα.</w:t>
      </w:r>
      <w:r w:rsidR="00E417F7" w:rsidRPr="00D32416">
        <w:rPr>
          <w:rFonts w:cstheme="minorHAnsi"/>
        </w:rPr>
        <w:t xml:space="preserve"> </w:t>
      </w:r>
      <w:r w:rsidR="00523CC3" w:rsidRPr="00D32416">
        <w:rPr>
          <w:rFonts w:cstheme="minorHAnsi"/>
        </w:rPr>
        <w:t>Η) Προτιμήσεις ασθενούς.</w:t>
      </w:r>
    </w:p>
    <w:p w14:paraId="619AD1F2" w14:textId="77777777" w:rsidR="00654590" w:rsidRPr="00D32416" w:rsidRDefault="00E417F7" w:rsidP="00D32416">
      <w:pPr>
        <w:spacing w:line="360" w:lineRule="auto"/>
        <w:ind w:firstLine="720"/>
        <w:rPr>
          <w:rFonts w:cstheme="minorHAnsi"/>
        </w:rPr>
      </w:pPr>
      <w:r w:rsidRPr="00D32416">
        <w:rPr>
          <w:rFonts w:cstheme="minorHAnsi"/>
        </w:rPr>
        <w:t xml:space="preserve">Υπάρχουν κάποια διαθέσιμα εργαλεία αξιολόγησης και ταξινόμησης του προ-θεραπευτικού κινδύνου. Αυτά είναι: α) η κατάταξη του </w:t>
      </w:r>
      <w:r w:rsidRPr="00D32416">
        <w:rPr>
          <w:rFonts w:cstheme="minorHAnsi"/>
          <w:lang w:val="en-US"/>
        </w:rPr>
        <w:t>D</w:t>
      </w:r>
      <w:r w:rsidRPr="00D32416">
        <w:rPr>
          <w:rFonts w:cstheme="minorHAnsi"/>
        </w:rPr>
        <w:t>'</w:t>
      </w:r>
      <w:r w:rsidRPr="00D32416">
        <w:rPr>
          <w:rFonts w:cstheme="minorHAnsi"/>
          <w:lang w:val="en-US"/>
        </w:rPr>
        <w:t>Amico</w:t>
      </w:r>
      <w:r w:rsidRPr="00D32416">
        <w:rPr>
          <w:rFonts w:cstheme="minorHAnsi"/>
        </w:rPr>
        <w:t xml:space="preserve"> </w:t>
      </w:r>
      <w:r w:rsidR="00E67525" w:rsidRPr="00D32416">
        <w:rPr>
          <w:rFonts w:cstheme="minorHAnsi"/>
        </w:rPr>
        <w:t>[3 - 6</w:t>
      </w:r>
      <w:r w:rsidR="007B6F94" w:rsidRPr="00D32416">
        <w:rPr>
          <w:rFonts w:cstheme="minorHAnsi"/>
        </w:rPr>
        <w:t>]</w:t>
      </w:r>
      <w:r w:rsidR="00752FA7" w:rsidRPr="00D32416">
        <w:rPr>
          <w:rFonts w:cstheme="minorHAnsi"/>
        </w:rPr>
        <w:t>,</w:t>
      </w:r>
      <w:r w:rsidR="00E67525" w:rsidRPr="00D32416">
        <w:rPr>
          <w:rFonts w:cstheme="minorHAnsi"/>
        </w:rPr>
        <w:t xml:space="preserve"> </w:t>
      </w:r>
      <w:r w:rsidR="00752FA7" w:rsidRPr="00D32416">
        <w:rPr>
          <w:rFonts w:cstheme="minorHAnsi"/>
        </w:rPr>
        <w:t xml:space="preserve">β) η </w:t>
      </w:r>
      <w:r w:rsidR="0086296E" w:rsidRPr="00D32416">
        <w:rPr>
          <w:rFonts w:cstheme="minorHAnsi"/>
        </w:rPr>
        <w:t>κατάταξη του</w:t>
      </w:r>
      <w:r w:rsidRPr="00D32416">
        <w:rPr>
          <w:rFonts w:cstheme="minorHAnsi"/>
        </w:rPr>
        <w:t xml:space="preserve"> </w:t>
      </w:r>
      <w:r w:rsidRPr="00D32416">
        <w:rPr>
          <w:rFonts w:cstheme="minorHAnsi"/>
          <w:lang w:val="en-US"/>
        </w:rPr>
        <w:t>NCCN</w:t>
      </w:r>
      <w:r w:rsidRPr="00D32416">
        <w:rPr>
          <w:rFonts w:cstheme="minorHAnsi"/>
        </w:rPr>
        <w:t xml:space="preserve">, </w:t>
      </w:r>
      <w:r w:rsidR="0086296E" w:rsidRPr="00D32416">
        <w:rPr>
          <w:rFonts w:cstheme="minorHAnsi"/>
        </w:rPr>
        <w:t xml:space="preserve">η οποία βασίζεται σε εκείνη του </w:t>
      </w:r>
      <w:r w:rsidRPr="00D32416">
        <w:rPr>
          <w:rFonts w:cstheme="minorHAnsi"/>
          <w:lang w:val="en-US"/>
        </w:rPr>
        <w:t>D</w:t>
      </w:r>
      <w:r w:rsidRPr="00D32416">
        <w:rPr>
          <w:rFonts w:cstheme="minorHAnsi"/>
        </w:rPr>
        <w:t>'</w:t>
      </w:r>
      <w:r w:rsidRPr="00D32416">
        <w:rPr>
          <w:rFonts w:cstheme="minorHAnsi"/>
          <w:lang w:val="en-US"/>
        </w:rPr>
        <w:t>Amico</w:t>
      </w:r>
      <w:r w:rsidR="0086296E" w:rsidRPr="00D32416">
        <w:rPr>
          <w:rFonts w:cstheme="minorHAnsi"/>
        </w:rPr>
        <w:t xml:space="preserve">, γ) η κλίμακα του </w:t>
      </w:r>
      <w:r w:rsidRPr="00D32416">
        <w:rPr>
          <w:rFonts w:cstheme="minorHAnsi"/>
          <w:lang w:val="en-US"/>
        </w:rPr>
        <w:t>Cancer</w:t>
      </w:r>
      <w:r w:rsidRPr="00D32416">
        <w:rPr>
          <w:rFonts w:cstheme="minorHAnsi"/>
        </w:rPr>
        <w:t xml:space="preserve"> </w:t>
      </w:r>
      <w:r w:rsidRPr="00D32416">
        <w:rPr>
          <w:rFonts w:cstheme="minorHAnsi"/>
          <w:lang w:val="en-US"/>
        </w:rPr>
        <w:t>of</w:t>
      </w:r>
      <w:r w:rsidRPr="00D32416">
        <w:rPr>
          <w:rFonts w:cstheme="minorHAnsi"/>
        </w:rPr>
        <w:t xml:space="preserve"> </w:t>
      </w:r>
      <w:r w:rsidRPr="00D32416">
        <w:rPr>
          <w:rFonts w:cstheme="minorHAnsi"/>
          <w:lang w:val="en-US"/>
        </w:rPr>
        <w:t>the</w:t>
      </w:r>
      <w:r w:rsidRPr="00D32416">
        <w:rPr>
          <w:rFonts w:cstheme="minorHAnsi"/>
        </w:rPr>
        <w:t xml:space="preserve"> </w:t>
      </w:r>
      <w:r w:rsidRPr="00D32416">
        <w:rPr>
          <w:rFonts w:cstheme="minorHAnsi"/>
          <w:lang w:val="en-US"/>
        </w:rPr>
        <w:t>Prostate</w:t>
      </w:r>
      <w:r w:rsidRPr="00D32416">
        <w:rPr>
          <w:rFonts w:cstheme="minorHAnsi"/>
        </w:rPr>
        <w:t xml:space="preserve"> </w:t>
      </w:r>
      <w:r w:rsidRPr="00D32416">
        <w:rPr>
          <w:rFonts w:cstheme="minorHAnsi"/>
          <w:lang w:val="en-US"/>
        </w:rPr>
        <w:t>Risk</w:t>
      </w:r>
      <w:r w:rsidRPr="00D32416">
        <w:rPr>
          <w:rFonts w:cstheme="minorHAnsi"/>
        </w:rPr>
        <w:t xml:space="preserve"> </w:t>
      </w:r>
      <w:r w:rsidRPr="00D32416">
        <w:rPr>
          <w:rFonts w:cstheme="minorHAnsi"/>
          <w:lang w:val="en-US"/>
        </w:rPr>
        <w:t>Assessment</w:t>
      </w:r>
      <w:r w:rsidRPr="00D32416">
        <w:rPr>
          <w:rFonts w:cstheme="minorHAnsi"/>
        </w:rPr>
        <w:t xml:space="preserve"> (</w:t>
      </w:r>
      <w:r w:rsidRPr="00D32416">
        <w:rPr>
          <w:rFonts w:cstheme="minorHAnsi"/>
          <w:lang w:val="en-US"/>
        </w:rPr>
        <w:t>CAPRA</w:t>
      </w:r>
      <w:r w:rsidRPr="00D32416">
        <w:rPr>
          <w:rFonts w:cstheme="minorHAnsi"/>
        </w:rPr>
        <w:t xml:space="preserve">) </w:t>
      </w:r>
      <w:r w:rsidR="00E67525" w:rsidRPr="00D32416">
        <w:rPr>
          <w:rFonts w:cstheme="minorHAnsi"/>
        </w:rPr>
        <w:t>[7</w:t>
      </w:r>
      <w:r w:rsidRPr="00D32416">
        <w:rPr>
          <w:rFonts w:cstheme="minorHAnsi"/>
        </w:rPr>
        <w:t>]</w:t>
      </w:r>
      <w:r w:rsidR="0086296E" w:rsidRPr="00D32416">
        <w:rPr>
          <w:rFonts w:cstheme="minorHAnsi"/>
        </w:rPr>
        <w:t xml:space="preserve">, </w:t>
      </w:r>
      <w:r w:rsidR="00B74251" w:rsidRPr="00D32416">
        <w:rPr>
          <w:rFonts w:cstheme="minorHAnsi"/>
        </w:rPr>
        <w:t xml:space="preserve"> </w:t>
      </w:r>
      <w:r w:rsidR="0086296E" w:rsidRPr="00D32416">
        <w:rPr>
          <w:rFonts w:cstheme="minorHAnsi"/>
        </w:rPr>
        <w:t xml:space="preserve">δ) το νομόγραμμα του </w:t>
      </w:r>
      <w:r w:rsidRPr="00D32416">
        <w:rPr>
          <w:rFonts w:cstheme="minorHAnsi"/>
          <w:lang w:val="en-US"/>
        </w:rPr>
        <w:t>Memorial</w:t>
      </w:r>
      <w:r w:rsidRPr="00D32416">
        <w:rPr>
          <w:rFonts w:cstheme="minorHAnsi"/>
        </w:rPr>
        <w:t xml:space="preserve"> </w:t>
      </w:r>
      <w:r w:rsidRPr="00D32416">
        <w:rPr>
          <w:rFonts w:cstheme="minorHAnsi"/>
          <w:lang w:val="en-US"/>
        </w:rPr>
        <w:t>Sloan</w:t>
      </w:r>
      <w:r w:rsidRPr="00D32416">
        <w:rPr>
          <w:rFonts w:cstheme="minorHAnsi"/>
        </w:rPr>
        <w:t xml:space="preserve"> </w:t>
      </w:r>
      <w:r w:rsidRPr="00D32416">
        <w:rPr>
          <w:rFonts w:cstheme="minorHAnsi"/>
          <w:lang w:val="en-US"/>
        </w:rPr>
        <w:t>Kettering</w:t>
      </w:r>
      <w:r w:rsidRPr="00D32416">
        <w:rPr>
          <w:rFonts w:cstheme="minorHAnsi"/>
        </w:rPr>
        <w:t xml:space="preserve"> </w:t>
      </w:r>
      <w:r w:rsidRPr="00D32416">
        <w:rPr>
          <w:rFonts w:cstheme="minorHAnsi"/>
          <w:lang w:val="en-US"/>
        </w:rPr>
        <w:t>Cancer</w:t>
      </w:r>
      <w:r w:rsidRPr="00D32416">
        <w:rPr>
          <w:rFonts w:cstheme="minorHAnsi"/>
        </w:rPr>
        <w:t xml:space="preserve"> </w:t>
      </w:r>
      <w:r w:rsidRPr="00D32416">
        <w:rPr>
          <w:rFonts w:cstheme="minorHAnsi"/>
          <w:lang w:val="en-US"/>
        </w:rPr>
        <w:t>Center</w:t>
      </w:r>
      <w:r w:rsidRPr="00D32416">
        <w:rPr>
          <w:rFonts w:cstheme="minorHAnsi"/>
        </w:rPr>
        <w:t xml:space="preserve"> (</w:t>
      </w:r>
      <w:r w:rsidRPr="00D32416">
        <w:rPr>
          <w:rFonts w:cstheme="minorHAnsi"/>
          <w:lang w:val="en-US"/>
        </w:rPr>
        <w:t>MSKCC</w:t>
      </w:r>
      <w:r w:rsidRPr="00D32416">
        <w:rPr>
          <w:rFonts w:cstheme="minorHAnsi"/>
        </w:rPr>
        <w:t xml:space="preserve">) </w:t>
      </w:r>
      <w:r w:rsidR="0086296E" w:rsidRPr="00D32416">
        <w:rPr>
          <w:rFonts w:cstheme="minorHAnsi"/>
        </w:rPr>
        <w:t>για ασθενείς που υποβλήθηκαν σε ριζική προστατεκτομή, ε) η ταξινόμηση της Ευρωπαϊκής Ουρολογικής Εταιρείας (</w:t>
      </w:r>
      <w:r w:rsidRPr="00D32416">
        <w:rPr>
          <w:rFonts w:cstheme="minorHAnsi"/>
          <w:lang w:val="en-US"/>
        </w:rPr>
        <w:t>European</w:t>
      </w:r>
      <w:r w:rsidRPr="00D32416">
        <w:rPr>
          <w:rFonts w:cstheme="minorHAnsi"/>
        </w:rPr>
        <w:t xml:space="preserve"> </w:t>
      </w:r>
      <w:r w:rsidRPr="00D32416">
        <w:rPr>
          <w:rFonts w:cstheme="minorHAnsi"/>
          <w:lang w:val="en-US"/>
        </w:rPr>
        <w:t>Association</w:t>
      </w:r>
      <w:r w:rsidRPr="00D32416">
        <w:rPr>
          <w:rFonts w:cstheme="minorHAnsi"/>
        </w:rPr>
        <w:t xml:space="preserve"> </w:t>
      </w:r>
      <w:r w:rsidRPr="00D32416">
        <w:rPr>
          <w:rFonts w:cstheme="minorHAnsi"/>
          <w:lang w:val="en-US"/>
        </w:rPr>
        <w:t>of</w:t>
      </w:r>
      <w:r w:rsidRPr="00D32416">
        <w:rPr>
          <w:rFonts w:cstheme="minorHAnsi"/>
        </w:rPr>
        <w:t xml:space="preserve"> </w:t>
      </w:r>
      <w:r w:rsidRPr="00D32416">
        <w:rPr>
          <w:rFonts w:cstheme="minorHAnsi"/>
          <w:lang w:val="en-US"/>
        </w:rPr>
        <w:t>Urology</w:t>
      </w:r>
      <w:r w:rsidR="0086296E" w:rsidRPr="00D32416">
        <w:rPr>
          <w:rFonts w:cstheme="minorHAnsi"/>
        </w:rPr>
        <w:t>-</w:t>
      </w:r>
      <w:r w:rsidR="0086296E" w:rsidRPr="00D32416">
        <w:rPr>
          <w:rFonts w:cstheme="minorHAnsi"/>
          <w:lang w:val="en-US"/>
        </w:rPr>
        <w:t>EAU</w:t>
      </w:r>
      <w:r w:rsidR="0086296E" w:rsidRPr="00D32416">
        <w:rPr>
          <w:rFonts w:cstheme="minorHAnsi"/>
        </w:rPr>
        <w:t xml:space="preserve">) </w:t>
      </w:r>
      <w:r w:rsidR="00E67525" w:rsidRPr="00D32416">
        <w:rPr>
          <w:rFonts w:cstheme="minorHAnsi"/>
        </w:rPr>
        <w:t>[8</w:t>
      </w:r>
      <w:r w:rsidR="0086296E" w:rsidRPr="00D32416">
        <w:rPr>
          <w:rFonts w:cstheme="minorHAnsi"/>
        </w:rPr>
        <w:t>],</w:t>
      </w:r>
      <w:r w:rsidR="00E67525" w:rsidRPr="00D32416">
        <w:rPr>
          <w:rFonts w:cstheme="minorHAnsi"/>
        </w:rPr>
        <w:t xml:space="preserve"> </w:t>
      </w:r>
      <w:r w:rsidR="0086296E" w:rsidRPr="00D32416">
        <w:rPr>
          <w:rFonts w:cstheme="minorHAnsi"/>
        </w:rPr>
        <w:t>ζ) της Αμερικανικής Ουρολογικής Εταιρείας (</w:t>
      </w:r>
      <w:r w:rsidRPr="00D32416">
        <w:rPr>
          <w:rFonts w:cstheme="minorHAnsi"/>
          <w:lang w:val="en-US"/>
        </w:rPr>
        <w:t>American</w:t>
      </w:r>
      <w:r w:rsidRPr="00D32416">
        <w:rPr>
          <w:rFonts w:cstheme="minorHAnsi"/>
        </w:rPr>
        <w:t xml:space="preserve"> </w:t>
      </w:r>
      <w:r w:rsidRPr="00D32416">
        <w:rPr>
          <w:rFonts w:cstheme="minorHAnsi"/>
          <w:lang w:val="en-US"/>
        </w:rPr>
        <w:t>Urologic</w:t>
      </w:r>
      <w:r w:rsidRPr="00D32416">
        <w:rPr>
          <w:rFonts w:cstheme="minorHAnsi"/>
        </w:rPr>
        <w:t xml:space="preserve"> </w:t>
      </w:r>
      <w:r w:rsidRPr="00D32416">
        <w:rPr>
          <w:rFonts w:cstheme="minorHAnsi"/>
          <w:lang w:val="en-US"/>
        </w:rPr>
        <w:t>Association</w:t>
      </w:r>
      <w:r w:rsidRPr="00D32416">
        <w:rPr>
          <w:rFonts w:cstheme="minorHAnsi"/>
        </w:rPr>
        <w:t xml:space="preserve"> </w:t>
      </w:r>
      <w:r w:rsidR="0086296E" w:rsidRPr="00D32416">
        <w:rPr>
          <w:rFonts w:cstheme="minorHAnsi"/>
        </w:rPr>
        <w:t>– Α</w:t>
      </w:r>
      <w:r w:rsidR="0086296E" w:rsidRPr="00D32416">
        <w:rPr>
          <w:rFonts w:cstheme="minorHAnsi"/>
          <w:lang w:val="en-US"/>
        </w:rPr>
        <w:t>UA</w:t>
      </w:r>
      <w:r w:rsidR="0086296E" w:rsidRPr="00D32416">
        <w:rPr>
          <w:rFonts w:cstheme="minorHAnsi"/>
        </w:rPr>
        <w:t>)</w:t>
      </w:r>
      <w:r w:rsidR="00E67525" w:rsidRPr="00D32416">
        <w:rPr>
          <w:rFonts w:cstheme="minorHAnsi"/>
        </w:rPr>
        <w:t>[9</w:t>
      </w:r>
      <w:r w:rsidRPr="00D32416">
        <w:rPr>
          <w:rFonts w:cstheme="minorHAnsi"/>
        </w:rPr>
        <w:t>]</w:t>
      </w:r>
      <w:r w:rsidR="0086296E" w:rsidRPr="00D32416">
        <w:rPr>
          <w:rFonts w:cstheme="minorHAnsi"/>
        </w:rPr>
        <w:t xml:space="preserve">, η) οι προγνωστικές ομάδες του </w:t>
      </w:r>
      <w:r w:rsidRPr="00D32416">
        <w:rPr>
          <w:rFonts w:cstheme="minorHAnsi"/>
          <w:lang w:val="en-US"/>
        </w:rPr>
        <w:t>Cambridge</w:t>
      </w:r>
      <w:r w:rsidR="00E67525" w:rsidRPr="00D32416">
        <w:rPr>
          <w:rFonts w:cstheme="minorHAnsi"/>
        </w:rPr>
        <w:t xml:space="preserve"> [10</w:t>
      </w:r>
      <w:r w:rsidRPr="00D32416">
        <w:rPr>
          <w:rFonts w:cstheme="minorHAnsi"/>
        </w:rPr>
        <w:t>]</w:t>
      </w:r>
      <w:r w:rsidR="007B6F94" w:rsidRPr="00D32416">
        <w:rPr>
          <w:rFonts w:cstheme="minorHAnsi"/>
        </w:rPr>
        <w:t>.</w:t>
      </w:r>
      <w:r w:rsidR="00E67525" w:rsidRPr="00D32416">
        <w:rPr>
          <w:rFonts w:cstheme="minorHAnsi"/>
        </w:rPr>
        <w:t xml:space="preserve"> </w:t>
      </w:r>
    </w:p>
    <w:p w14:paraId="0B752BE0" w14:textId="77777777" w:rsidR="0075286E" w:rsidRPr="00EF2861" w:rsidRDefault="00782873" w:rsidP="00D32416">
      <w:pPr>
        <w:spacing w:line="360" w:lineRule="auto"/>
        <w:ind w:firstLine="720"/>
        <w:rPr>
          <w:rFonts w:cstheme="minorHAnsi"/>
        </w:rPr>
      </w:pPr>
      <w:r w:rsidRPr="00D32416">
        <w:rPr>
          <w:rFonts w:cstheme="minorHAnsi"/>
        </w:rPr>
        <w:t xml:space="preserve">Τα κλινικά εντοπισμένα νεοπλάσματα, βάση του </w:t>
      </w:r>
      <w:r w:rsidRPr="00D32416">
        <w:rPr>
          <w:rFonts w:cstheme="minorHAnsi"/>
          <w:lang w:val="en-US"/>
        </w:rPr>
        <w:t>NCCN</w:t>
      </w:r>
      <w:r w:rsidRPr="00D32416">
        <w:rPr>
          <w:rFonts w:cstheme="minorHAnsi"/>
        </w:rPr>
        <w:t xml:space="preserve"> διαιρούνται σε πολύ χαμηλού, χ</w:t>
      </w:r>
      <w:r w:rsidR="00B74251" w:rsidRPr="00D32416">
        <w:rPr>
          <w:rFonts w:cstheme="minorHAnsi"/>
        </w:rPr>
        <w:t>αμηλού και ενδιαμέσου κινδύνου [</w:t>
      </w:r>
      <w:r w:rsidR="008D6A6C" w:rsidRPr="00D32416">
        <w:rPr>
          <w:rFonts w:cstheme="minorHAnsi"/>
        </w:rPr>
        <w:t>11</w:t>
      </w:r>
      <w:r w:rsidR="00B74251" w:rsidRPr="00D32416">
        <w:rPr>
          <w:rFonts w:cstheme="minorHAnsi"/>
        </w:rPr>
        <w:t>]</w:t>
      </w:r>
      <w:r w:rsidR="008D6A6C" w:rsidRPr="00D32416">
        <w:rPr>
          <w:rFonts w:cstheme="minorHAnsi"/>
        </w:rPr>
        <w:t xml:space="preserve">. </w:t>
      </w:r>
    </w:p>
    <w:p w14:paraId="2920E6A0" w14:textId="77777777" w:rsidR="00B74251" w:rsidRPr="00D32416" w:rsidRDefault="0075286E" w:rsidP="00D32416">
      <w:pPr>
        <w:spacing w:line="360" w:lineRule="auto"/>
        <w:rPr>
          <w:rFonts w:cstheme="minorHAnsi"/>
        </w:rPr>
      </w:pPr>
      <w:r w:rsidRPr="00D32416">
        <w:rPr>
          <w:rFonts w:cstheme="minorHAnsi"/>
          <w:i/>
        </w:rPr>
        <w:t xml:space="preserve">Α) </w:t>
      </w:r>
      <w:r w:rsidR="00782873" w:rsidRPr="00D32416">
        <w:rPr>
          <w:rFonts w:cstheme="minorHAnsi"/>
          <w:i/>
        </w:rPr>
        <w:t>Στα πολύ χαμηλού κινδύνου</w:t>
      </w:r>
      <w:r w:rsidR="00D95232" w:rsidRPr="00D32416">
        <w:rPr>
          <w:rFonts w:cstheme="minorHAnsi"/>
          <w:i/>
        </w:rPr>
        <w:t xml:space="preserve"> νεοπλάσματα κατά </w:t>
      </w:r>
      <w:r w:rsidR="00D95232" w:rsidRPr="00D32416">
        <w:rPr>
          <w:rFonts w:cstheme="minorHAnsi"/>
          <w:i/>
          <w:lang w:val="en-US"/>
        </w:rPr>
        <w:t>NCCN</w:t>
      </w:r>
      <w:r w:rsidR="00782873" w:rsidRPr="00D32416">
        <w:rPr>
          <w:rFonts w:cstheme="minorHAnsi"/>
        </w:rPr>
        <w:t xml:space="preserve">, η νόσος ανιχνεύεται μόνο κατόπιν βιοψίας του αδένα, </w:t>
      </w:r>
      <w:r w:rsidR="00571718" w:rsidRPr="00D32416">
        <w:rPr>
          <w:rFonts w:cstheme="minorHAnsi"/>
        </w:rPr>
        <w:t xml:space="preserve">γιατί </w:t>
      </w:r>
      <w:r w:rsidR="00782873" w:rsidRPr="00D32416">
        <w:rPr>
          <w:rFonts w:cstheme="minorHAnsi"/>
        </w:rPr>
        <w:t xml:space="preserve">έχει προηγηθεί μόνο αύξηση του </w:t>
      </w:r>
      <w:r w:rsidR="00782873" w:rsidRPr="00D32416">
        <w:rPr>
          <w:rFonts w:cstheme="minorHAnsi"/>
          <w:lang w:val="en-US"/>
        </w:rPr>
        <w:t>PSA</w:t>
      </w:r>
      <w:r w:rsidR="00571718" w:rsidRPr="00D32416">
        <w:rPr>
          <w:rFonts w:cstheme="minorHAnsi"/>
        </w:rPr>
        <w:t>, χωρίς ανιχνεύσιμη μάζα στη δακτυλική εξέταση ή την απεικόνιση</w:t>
      </w:r>
      <w:r w:rsidR="00782873" w:rsidRPr="00D32416">
        <w:rPr>
          <w:rFonts w:cstheme="minorHAnsi"/>
        </w:rPr>
        <w:t xml:space="preserve">. </w:t>
      </w:r>
      <w:r w:rsidR="00571718" w:rsidRPr="00D32416">
        <w:rPr>
          <w:rFonts w:cstheme="minorHAnsi"/>
        </w:rPr>
        <w:t>Οι ασθενείς πρέπει να ανήκουν στην πρώτη παθολογο-ανατομική κατηγορία 1, στη βιοψία</w:t>
      </w:r>
      <w:r w:rsidR="00782873" w:rsidRPr="00D32416">
        <w:rPr>
          <w:rFonts w:cstheme="minorHAnsi"/>
        </w:rPr>
        <w:t>(</w:t>
      </w:r>
      <w:r w:rsidR="00782873" w:rsidRPr="00D32416">
        <w:rPr>
          <w:rFonts w:cstheme="minorHAnsi"/>
          <w:lang w:val="en-US"/>
        </w:rPr>
        <w:t>Gleason</w:t>
      </w:r>
      <w:r w:rsidR="00782873" w:rsidRPr="00D32416">
        <w:rPr>
          <w:rFonts w:cstheme="minorHAnsi"/>
        </w:rPr>
        <w:t xml:space="preserve"> </w:t>
      </w:r>
      <w:r w:rsidR="00782873" w:rsidRPr="00D32416">
        <w:rPr>
          <w:rFonts w:cstheme="minorHAnsi"/>
          <w:lang w:val="en-US"/>
        </w:rPr>
        <w:t>score</w:t>
      </w:r>
      <w:r w:rsidR="00782873" w:rsidRPr="00D32416">
        <w:rPr>
          <w:rFonts w:cstheme="minorHAnsi"/>
        </w:rPr>
        <w:t xml:space="preserve"> ≤6) </w:t>
      </w:r>
      <w:r w:rsidR="00571718" w:rsidRPr="00D32416">
        <w:rPr>
          <w:rFonts w:cstheme="minorHAnsi"/>
        </w:rPr>
        <w:t>και το</w:t>
      </w:r>
      <w:r w:rsidR="00782873" w:rsidRPr="00D32416">
        <w:rPr>
          <w:rFonts w:cstheme="minorHAnsi"/>
        </w:rPr>
        <w:t xml:space="preserve"> </w:t>
      </w:r>
      <w:r w:rsidR="00782873" w:rsidRPr="00D32416">
        <w:rPr>
          <w:rFonts w:cstheme="minorHAnsi"/>
          <w:lang w:val="en-US"/>
        </w:rPr>
        <w:t>PSA</w:t>
      </w:r>
      <w:r w:rsidR="00782873" w:rsidRPr="00D32416">
        <w:rPr>
          <w:rFonts w:cstheme="minorHAnsi"/>
        </w:rPr>
        <w:t xml:space="preserve"> </w:t>
      </w:r>
      <w:r w:rsidR="00571718" w:rsidRPr="00D32416">
        <w:rPr>
          <w:rFonts w:cstheme="minorHAnsi"/>
        </w:rPr>
        <w:t xml:space="preserve">να είναι </w:t>
      </w:r>
      <w:r w:rsidR="00782873" w:rsidRPr="00D32416">
        <w:rPr>
          <w:rFonts w:cstheme="minorHAnsi"/>
        </w:rPr>
        <w:t xml:space="preserve">&lt;10 </w:t>
      </w:r>
      <w:r w:rsidR="00782873" w:rsidRPr="00D32416">
        <w:rPr>
          <w:rFonts w:cstheme="minorHAnsi"/>
          <w:lang w:val="en-US"/>
        </w:rPr>
        <w:lastRenderedPageBreak/>
        <w:t>ng</w:t>
      </w:r>
      <w:r w:rsidR="00782873" w:rsidRPr="00D32416">
        <w:rPr>
          <w:rFonts w:cstheme="minorHAnsi"/>
        </w:rPr>
        <w:t>/</w:t>
      </w:r>
      <w:r w:rsidR="00782873" w:rsidRPr="00D32416">
        <w:rPr>
          <w:rFonts w:cstheme="minorHAnsi"/>
          <w:lang w:val="en-US"/>
        </w:rPr>
        <w:t>mL</w:t>
      </w:r>
      <w:r w:rsidR="00782873" w:rsidRPr="00D32416">
        <w:rPr>
          <w:rFonts w:cstheme="minorHAnsi"/>
        </w:rPr>
        <w:t xml:space="preserve">. </w:t>
      </w:r>
      <w:r w:rsidR="00997119" w:rsidRPr="00D32416">
        <w:rPr>
          <w:rFonts w:cstheme="minorHAnsi"/>
        </w:rPr>
        <w:t>Επιπροσθέτως η έκταση της νόσου πρέπει να είναι περιορισμένη (π.χ. &lt; 3 θετικές βιοψίες</w:t>
      </w:r>
      <w:r w:rsidR="00782873" w:rsidRPr="00D32416">
        <w:rPr>
          <w:rFonts w:cstheme="minorHAnsi"/>
        </w:rPr>
        <w:t xml:space="preserve">, </w:t>
      </w:r>
      <w:r w:rsidR="00997119" w:rsidRPr="00D32416">
        <w:rPr>
          <w:rFonts w:cstheme="minorHAnsi"/>
        </w:rPr>
        <w:t xml:space="preserve">με λιγότερο από 50% διήθηση κάθε ιστοτεμαχίου και </w:t>
      </w:r>
      <w:r w:rsidR="00782873" w:rsidRPr="00D32416">
        <w:rPr>
          <w:rFonts w:cstheme="minorHAnsi"/>
        </w:rPr>
        <w:t xml:space="preserve"> </w:t>
      </w:r>
      <w:r w:rsidR="00782873" w:rsidRPr="00D32416">
        <w:rPr>
          <w:rFonts w:cstheme="minorHAnsi"/>
          <w:lang w:val="en-US"/>
        </w:rPr>
        <w:t>PSA</w:t>
      </w:r>
      <w:r w:rsidR="00782873" w:rsidRPr="00D32416">
        <w:rPr>
          <w:rFonts w:cstheme="minorHAnsi"/>
        </w:rPr>
        <w:t xml:space="preserve"> </w:t>
      </w:r>
      <w:r w:rsidR="00782873" w:rsidRPr="00D32416">
        <w:rPr>
          <w:rFonts w:cstheme="minorHAnsi"/>
          <w:lang w:val="en-US"/>
        </w:rPr>
        <w:t>density</w:t>
      </w:r>
      <w:r w:rsidR="00782873" w:rsidRPr="00D32416">
        <w:rPr>
          <w:rFonts w:cstheme="minorHAnsi"/>
        </w:rPr>
        <w:t xml:space="preserve"> </w:t>
      </w:r>
      <w:r w:rsidR="00997119" w:rsidRPr="00D32416">
        <w:rPr>
          <w:rFonts w:cstheme="minorHAnsi"/>
        </w:rPr>
        <w:t xml:space="preserve">&lt; </w:t>
      </w:r>
      <w:r w:rsidR="00782873" w:rsidRPr="00D32416">
        <w:rPr>
          <w:rFonts w:cstheme="minorHAnsi"/>
        </w:rPr>
        <w:t xml:space="preserve">0.15 </w:t>
      </w:r>
      <w:r w:rsidR="00782873" w:rsidRPr="00D32416">
        <w:rPr>
          <w:rFonts w:cstheme="minorHAnsi"/>
          <w:lang w:val="en-US"/>
        </w:rPr>
        <w:t>ng</w:t>
      </w:r>
      <w:r w:rsidR="00782873" w:rsidRPr="00D32416">
        <w:rPr>
          <w:rFonts w:cstheme="minorHAnsi"/>
        </w:rPr>
        <w:t>/</w:t>
      </w:r>
      <w:r w:rsidR="00782873" w:rsidRPr="00D32416">
        <w:rPr>
          <w:rFonts w:cstheme="minorHAnsi"/>
          <w:lang w:val="en-US"/>
        </w:rPr>
        <w:t>mL</w:t>
      </w:r>
      <w:r w:rsidR="00782873" w:rsidRPr="00D32416">
        <w:rPr>
          <w:rFonts w:cstheme="minorHAnsi"/>
        </w:rPr>
        <w:t>/</w:t>
      </w:r>
      <w:r w:rsidR="00782873" w:rsidRPr="00D32416">
        <w:rPr>
          <w:rFonts w:cstheme="minorHAnsi"/>
          <w:lang w:val="en-US"/>
        </w:rPr>
        <w:t>gram</w:t>
      </w:r>
      <w:r w:rsidR="00782873" w:rsidRPr="00D32416">
        <w:rPr>
          <w:rFonts w:cstheme="minorHAnsi"/>
        </w:rPr>
        <w:t>) [</w:t>
      </w:r>
      <w:hyperlink r:id="rId8" w:history="1">
        <w:r w:rsidR="008D6A6C" w:rsidRPr="00D32416">
          <w:rPr>
            <w:rStyle w:val="-"/>
            <w:rFonts w:cstheme="minorHAnsi"/>
            <w:color w:val="auto"/>
            <w:u w:val="none"/>
          </w:rPr>
          <w:t>11</w:t>
        </w:r>
        <w:r w:rsidR="00782873" w:rsidRPr="00D32416">
          <w:rPr>
            <w:rStyle w:val="-"/>
            <w:rFonts w:cstheme="minorHAnsi"/>
            <w:color w:val="auto"/>
            <w:u w:val="none"/>
          </w:rPr>
          <w:t>,</w:t>
        </w:r>
        <w:r w:rsidR="008D6A6C" w:rsidRPr="00D32416">
          <w:rPr>
            <w:rStyle w:val="-"/>
            <w:rFonts w:cstheme="minorHAnsi"/>
            <w:color w:val="auto"/>
            <w:u w:val="none"/>
          </w:rPr>
          <w:t>12</w:t>
        </w:r>
      </w:hyperlink>
      <w:r w:rsidR="008D6A6C" w:rsidRPr="00D32416">
        <w:rPr>
          <w:rFonts w:cstheme="minorHAnsi"/>
        </w:rPr>
        <w:t xml:space="preserve"> </w:t>
      </w:r>
      <w:r w:rsidR="00782873" w:rsidRPr="00D32416">
        <w:rPr>
          <w:rFonts w:cstheme="minorHAnsi"/>
        </w:rPr>
        <w:t>]</w:t>
      </w:r>
      <w:r w:rsidR="00B82B87" w:rsidRPr="00D32416">
        <w:rPr>
          <w:rFonts w:cstheme="minorHAnsi"/>
        </w:rPr>
        <w:t>, σε απουσία συγκεκριμένων ιστολογικών στοιχείων π.χ. περιοχές με ηθμοειδές ιστότυπο ή ενδο</w:t>
      </w:r>
      <w:r w:rsidR="00D50DD1" w:rsidRPr="00D32416">
        <w:rPr>
          <w:rFonts w:cstheme="minorHAnsi"/>
        </w:rPr>
        <w:t xml:space="preserve">πορικό στοιχείο, </w:t>
      </w:r>
      <w:r w:rsidR="00587B4A" w:rsidRPr="00D32416">
        <w:rPr>
          <w:rFonts w:cstheme="minorHAnsi"/>
        </w:rPr>
        <w:t xml:space="preserve">όχι </w:t>
      </w:r>
      <w:r w:rsidR="00B82B87" w:rsidRPr="00D32416">
        <w:rPr>
          <w:rFonts w:cstheme="minorHAnsi"/>
        </w:rPr>
        <w:t xml:space="preserve">έκφραση </w:t>
      </w:r>
      <w:r w:rsidR="00587B4A" w:rsidRPr="00D32416">
        <w:rPr>
          <w:rFonts w:cstheme="minorHAnsi"/>
        </w:rPr>
        <w:t xml:space="preserve">γονιδιακών μεταλλάξεων υψηλού </w:t>
      </w:r>
      <w:r w:rsidR="00B82B87" w:rsidRPr="00D32416">
        <w:rPr>
          <w:rFonts w:cstheme="minorHAnsi"/>
        </w:rPr>
        <w:t xml:space="preserve">κινδύνου </w:t>
      </w:r>
      <w:r w:rsidR="00587B4A" w:rsidRPr="00D32416">
        <w:rPr>
          <w:rFonts w:cstheme="minorHAnsi"/>
          <w:color w:val="232323"/>
          <w:shd w:val="clear" w:color="auto" w:fill="FFFFFF"/>
        </w:rPr>
        <w:t>(</w:t>
      </w:r>
      <w:r w:rsidR="00587B4A" w:rsidRPr="00D32416">
        <w:rPr>
          <w:rStyle w:val="a3"/>
          <w:rFonts w:cstheme="minorHAnsi"/>
          <w:color w:val="232323"/>
          <w:shd w:val="clear" w:color="auto" w:fill="FFFFFF"/>
        </w:rPr>
        <w:t>BRCA1, BRCA2, ATM</w:t>
      </w:r>
      <w:r w:rsidR="00587B4A" w:rsidRPr="00D32416">
        <w:rPr>
          <w:rFonts w:cstheme="minorHAnsi"/>
          <w:color w:val="232323"/>
          <w:shd w:val="clear" w:color="auto" w:fill="FFFFFF"/>
        </w:rPr>
        <w:t> και</w:t>
      </w:r>
      <w:r w:rsidR="00587B4A" w:rsidRPr="00D32416">
        <w:rPr>
          <w:rStyle w:val="a3"/>
          <w:rFonts w:cstheme="minorHAnsi"/>
          <w:color w:val="232323"/>
          <w:shd w:val="clear" w:color="auto" w:fill="FFFFFF"/>
        </w:rPr>
        <w:t xml:space="preserve"> CHEK2)</w:t>
      </w:r>
      <w:r w:rsidR="00B82B87" w:rsidRPr="00D32416">
        <w:rPr>
          <w:rFonts w:cstheme="minorHAnsi"/>
        </w:rPr>
        <w:t>, για ανάπτυξη μεταστάσεων</w:t>
      </w:r>
      <w:r w:rsidR="00D50DD1" w:rsidRPr="00D32416">
        <w:rPr>
          <w:rFonts w:cstheme="minorHAnsi"/>
        </w:rPr>
        <w:t xml:space="preserve"> και μοριακής ανάλυσης των προγνωστικών βιοδεικτών </w:t>
      </w:r>
      <w:r w:rsidR="003D6E16" w:rsidRPr="00D32416">
        <w:rPr>
          <w:rFonts w:cstheme="minorHAnsi"/>
        </w:rPr>
        <w:t xml:space="preserve">του ιστού </w:t>
      </w:r>
      <w:r w:rsidR="00D50DD1" w:rsidRPr="00D32416">
        <w:rPr>
          <w:rFonts w:cstheme="minorHAnsi"/>
        </w:rPr>
        <w:t>(Oncotype DX, Prolaris, ConfirmMDx, Decipher)</w:t>
      </w:r>
      <w:r w:rsidR="00782873" w:rsidRPr="00D32416">
        <w:rPr>
          <w:rFonts w:cstheme="minorHAnsi"/>
        </w:rPr>
        <w:t>.</w:t>
      </w:r>
      <w:r w:rsidRPr="00D32416">
        <w:rPr>
          <w:rFonts w:cstheme="minorHAnsi"/>
        </w:rPr>
        <w:t xml:space="preserve"> </w:t>
      </w:r>
      <w:r w:rsidR="000209A8" w:rsidRPr="00D32416">
        <w:rPr>
          <w:rFonts w:cstheme="minorHAnsi"/>
        </w:rPr>
        <w:t xml:space="preserve"> </w:t>
      </w:r>
      <w:r w:rsidRPr="00D32416">
        <w:rPr>
          <w:rFonts w:cstheme="minorHAnsi"/>
        </w:rPr>
        <w:t xml:space="preserve">Στις τρέχουσες κατευθυντήριες οδηγίες του </w:t>
      </w:r>
      <w:r w:rsidR="00782873" w:rsidRPr="00D32416">
        <w:rPr>
          <w:rFonts w:cstheme="minorHAnsi"/>
          <w:lang w:val="en-US"/>
        </w:rPr>
        <w:t>NCCN</w:t>
      </w:r>
      <w:r w:rsidR="00782873" w:rsidRPr="00D32416">
        <w:rPr>
          <w:rFonts w:cstheme="minorHAnsi"/>
        </w:rPr>
        <w:t xml:space="preserve"> [</w:t>
      </w:r>
      <w:r w:rsidR="008D6A6C" w:rsidRPr="00D32416">
        <w:rPr>
          <w:rFonts w:cstheme="minorHAnsi"/>
        </w:rPr>
        <w:t>11</w:t>
      </w:r>
      <w:r w:rsidR="00782873" w:rsidRPr="00D32416">
        <w:rPr>
          <w:rFonts w:cstheme="minorHAnsi"/>
        </w:rPr>
        <w:t xml:space="preserve">], </w:t>
      </w:r>
      <w:r w:rsidRPr="00D32416">
        <w:rPr>
          <w:rFonts w:cstheme="minorHAnsi"/>
        </w:rPr>
        <w:t xml:space="preserve">η ενεργή παρακολούθηση συστήνεται σε ασθενείς με προσδόκιμο ζωής </w:t>
      </w:r>
      <w:r w:rsidR="00782873" w:rsidRPr="00D32416">
        <w:rPr>
          <w:rFonts w:cstheme="minorHAnsi"/>
        </w:rPr>
        <w:t xml:space="preserve">&gt;10 </w:t>
      </w:r>
      <w:r w:rsidRPr="00D32416">
        <w:rPr>
          <w:rFonts w:cstheme="minorHAnsi"/>
        </w:rPr>
        <w:t xml:space="preserve"> έτη </w:t>
      </w:r>
      <w:r w:rsidR="00B74251" w:rsidRPr="00D32416">
        <w:rPr>
          <w:rFonts w:cstheme="minorHAnsi"/>
        </w:rPr>
        <w:t xml:space="preserve">[13, 14].  </w:t>
      </w:r>
      <w:r w:rsidRPr="00D32416">
        <w:rPr>
          <w:rFonts w:cstheme="minorHAnsi"/>
        </w:rPr>
        <w:t xml:space="preserve">Αυτό </w:t>
      </w:r>
      <w:r w:rsidR="00EB0C1B" w:rsidRPr="00D32416">
        <w:rPr>
          <w:rFonts w:cstheme="minorHAnsi"/>
        </w:rPr>
        <w:t>προϋποθέτει</w:t>
      </w:r>
      <w:r w:rsidRPr="00D32416">
        <w:rPr>
          <w:rFonts w:cstheme="minorHAnsi"/>
        </w:rPr>
        <w:t xml:space="preserve"> στενή συνεργασία του ασθενούς. Παρόλα ταύτα αυτή η προσέγγιση μπορεί να δημιουργήσει άγχος στον ασθενή, ο οποίος τελικά θα επιλέξει να υποβληθεί σε θεραπεία (ακτινοθεραπεία ή ριζική προστατεκτομή). </w:t>
      </w:r>
    </w:p>
    <w:p w14:paraId="6E3C4F14" w14:textId="77777777" w:rsidR="00B74251" w:rsidRPr="00D32416" w:rsidRDefault="00927B21" w:rsidP="00D32416">
      <w:pPr>
        <w:spacing w:line="360" w:lineRule="auto"/>
        <w:rPr>
          <w:rFonts w:cstheme="minorHAnsi"/>
          <w:color w:val="232323"/>
        </w:rPr>
      </w:pPr>
      <w:r w:rsidRPr="00D32416">
        <w:rPr>
          <w:rFonts w:cstheme="minorHAnsi"/>
          <w:i/>
          <w:color w:val="232323"/>
          <w:lang w:val="en-US"/>
        </w:rPr>
        <w:t>B</w:t>
      </w:r>
      <w:r w:rsidRPr="00D32416">
        <w:rPr>
          <w:rFonts w:cstheme="minorHAnsi"/>
          <w:i/>
          <w:color w:val="232323"/>
        </w:rPr>
        <w:t>) Ως κλινικά εντοπισμένα</w:t>
      </w:r>
      <w:r w:rsidR="00700C41">
        <w:t>-</w:t>
      </w:r>
      <w:r w:rsidR="00700C41" w:rsidRPr="00700C41">
        <w:rPr>
          <w:rFonts w:cstheme="minorHAnsi"/>
          <w:i/>
          <w:color w:val="232323"/>
        </w:rPr>
        <w:t>χαμηλού κινδύνου</w:t>
      </w:r>
      <w:r w:rsidRPr="00D32416">
        <w:rPr>
          <w:rFonts w:cstheme="minorHAnsi"/>
          <w:i/>
          <w:color w:val="232323"/>
        </w:rPr>
        <w:t xml:space="preserve"> νεοπλάσματα κατά </w:t>
      </w:r>
      <w:r w:rsidRPr="00D32416">
        <w:rPr>
          <w:rFonts w:cstheme="minorHAnsi"/>
          <w:i/>
          <w:color w:val="232323"/>
          <w:lang w:val="en-US"/>
        </w:rPr>
        <w:t>NCCN</w:t>
      </w:r>
      <w:r w:rsidR="00B23E33" w:rsidRPr="00D32416">
        <w:rPr>
          <w:rFonts w:cstheme="minorHAnsi"/>
          <w:color w:val="232323"/>
        </w:rPr>
        <w:t>,</w:t>
      </w:r>
      <w:r w:rsidRPr="00D32416">
        <w:rPr>
          <w:rFonts w:cstheme="minorHAnsi"/>
          <w:color w:val="232323"/>
        </w:rPr>
        <w:t xml:space="preserve"> ορίζονται εκείνα στα οποία δεν ψηλαφάται όγκος στον αδένα (η διάγνωση στηρίζεται μόνο σε βιοψία)</w:t>
      </w:r>
      <w:r w:rsidR="00B23E33" w:rsidRPr="00D32416">
        <w:rPr>
          <w:rFonts w:cstheme="minorHAnsi"/>
          <w:color w:val="232323"/>
        </w:rPr>
        <w:t xml:space="preserve"> ή νόσος εντοπισμένη στον ένα λοβό του αδένα, </w:t>
      </w:r>
      <w:r w:rsidR="00B23E33" w:rsidRPr="00D32416">
        <w:rPr>
          <w:rFonts w:cstheme="minorHAnsi"/>
        </w:rPr>
        <w:t>στη βιοψία</w:t>
      </w:r>
      <w:r w:rsidR="004E31B2">
        <w:rPr>
          <w:rFonts w:cstheme="minorHAnsi"/>
        </w:rPr>
        <w:t xml:space="preserve"> </w:t>
      </w:r>
      <w:r w:rsidR="00B23E33" w:rsidRPr="00D32416">
        <w:rPr>
          <w:rFonts w:cstheme="minorHAnsi"/>
        </w:rPr>
        <w:t>(</w:t>
      </w:r>
      <w:r w:rsidR="00B23E33" w:rsidRPr="00D32416">
        <w:rPr>
          <w:rFonts w:cstheme="minorHAnsi"/>
          <w:lang w:val="en-US"/>
        </w:rPr>
        <w:t>Gleason</w:t>
      </w:r>
      <w:r w:rsidR="00B23E33" w:rsidRPr="00D32416">
        <w:rPr>
          <w:rFonts w:cstheme="minorHAnsi"/>
        </w:rPr>
        <w:t xml:space="preserve"> </w:t>
      </w:r>
      <w:r w:rsidR="00B23E33" w:rsidRPr="00D32416">
        <w:rPr>
          <w:rFonts w:cstheme="minorHAnsi"/>
          <w:lang w:val="en-US"/>
        </w:rPr>
        <w:t>score</w:t>
      </w:r>
      <w:r w:rsidR="00B23E33" w:rsidRPr="00D32416">
        <w:rPr>
          <w:rFonts w:cstheme="minorHAnsi"/>
        </w:rPr>
        <w:t xml:space="preserve"> ≤6), το </w:t>
      </w:r>
      <w:r w:rsidR="00B23E33" w:rsidRPr="00D32416">
        <w:rPr>
          <w:rFonts w:cstheme="minorHAnsi"/>
          <w:lang w:val="en-US"/>
        </w:rPr>
        <w:t>PSA</w:t>
      </w:r>
      <w:r w:rsidR="00B23E33" w:rsidRPr="00D32416">
        <w:rPr>
          <w:rFonts w:cstheme="minorHAnsi"/>
        </w:rPr>
        <w:t xml:space="preserve"> είναι &lt;10 </w:t>
      </w:r>
      <w:r w:rsidR="00B23E33" w:rsidRPr="00D32416">
        <w:rPr>
          <w:rFonts w:cstheme="minorHAnsi"/>
          <w:lang w:val="en-US"/>
        </w:rPr>
        <w:t>ng</w:t>
      </w:r>
      <w:r w:rsidR="00B23E33" w:rsidRPr="00D32416">
        <w:rPr>
          <w:rFonts w:cstheme="minorHAnsi"/>
        </w:rPr>
        <w:t>/</w:t>
      </w:r>
      <w:r w:rsidR="00B23E33" w:rsidRPr="00D32416">
        <w:rPr>
          <w:rFonts w:cstheme="minorHAnsi"/>
          <w:lang w:val="en-US"/>
        </w:rPr>
        <w:t>mL</w:t>
      </w:r>
      <w:r w:rsidR="00B23E33" w:rsidRPr="00D32416">
        <w:rPr>
          <w:rFonts w:cstheme="minorHAnsi"/>
        </w:rPr>
        <w:t>, δηλαδή ανήκουν στην πρώτη παθολογο-ανατομική κατηγορία 1. Οι θεραπευτικές επιλογές είναι οι εξής ακόλουθες: ενεργή παρακολούθηση, ριζική</w:t>
      </w:r>
      <w:r w:rsidR="00E15EF4" w:rsidRPr="00D32416">
        <w:rPr>
          <w:rFonts w:cstheme="minorHAnsi"/>
        </w:rPr>
        <w:t xml:space="preserve"> προστατεκτομή, ακτινοθεραπεία (εξωτερική ή βραχυθεραπεία)</w:t>
      </w:r>
      <w:r w:rsidR="00782873" w:rsidRPr="00D32416">
        <w:rPr>
          <w:rFonts w:cstheme="minorHAnsi"/>
        </w:rPr>
        <w:t xml:space="preserve"> [</w:t>
      </w:r>
      <w:r w:rsidR="008D6A6C" w:rsidRPr="00D32416">
        <w:rPr>
          <w:rFonts w:cstheme="minorHAnsi"/>
        </w:rPr>
        <w:t>15</w:t>
      </w:r>
      <w:r w:rsidR="00B74251" w:rsidRPr="00D32416">
        <w:rPr>
          <w:rFonts w:cstheme="minorHAnsi"/>
        </w:rPr>
        <w:t>, 16</w:t>
      </w:r>
      <w:r w:rsidR="00782873" w:rsidRPr="00D32416">
        <w:rPr>
          <w:rFonts w:cstheme="minorHAnsi"/>
        </w:rPr>
        <w:t xml:space="preserve">]. </w:t>
      </w:r>
      <w:r w:rsidR="00E15EF4" w:rsidRPr="00D32416">
        <w:rPr>
          <w:rFonts w:cstheme="minorHAnsi"/>
        </w:rPr>
        <w:t xml:space="preserve"> Δεν έχει φανεί υπεροχή της μιας θεραπευτικής επιλογής έναντι της άλλης, </w:t>
      </w:r>
      <w:r w:rsidR="00022444" w:rsidRPr="00D32416">
        <w:rPr>
          <w:rFonts w:cstheme="minorHAnsi"/>
        </w:rPr>
        <w:t xml:space="preserve">ούτε </w:t>
      </w:r>
      <w:r w:rsidR="00E15EF4" w:rsidRPr="00D32416">
        <w:rPr>
          <w:rFonts w:cstheme="minorHAnsi"/>
        </w:rPr>
        <w:t xml:space="preserve">σημαντική διαφορά στη </w:t>
      </w:r>
      <w:r w:rsidR="00022444" w:rsidRPr="00D32416">
        <w:rPr>
          <w:rFonts w:cstheme="minorHAnsi"/>
        </w:rPr>
        <w:t xml:space="preserve">συνολική επιβίωση και στη </w:t>
      </w:r>
      <w:r w:rsidR="005A16CD">
        <w:rPr>
          <w:rFonts w:cstheme="minorHAnsi"/>
        </w:rPr>
        <w:t>10</w:t>
      </w:r>
      <w:r w:rsidR="00E15EF4" w:rsidRPr="00D32416">
        <w:rPr>
          <w:rFonts w:cstheme="minorHAnsi"/>
        </w:rPr>
        <w:t>ετή επιβίωση που σχετίζεται με τη νόσο</w:t>
      </w:r>
      <w:r w:rsidR="00B74251" w:rsidRPr="00D32416">
        <w:rPr>
          <w:rFonts w:cstheme="minorHAnsi"/>
        </w:rPr>
        <w:t xml:space="preserve"> [15,16].</w:t>
      </w:r>
    </w:p>
    <w:p w14:paraId="1AB2B2FF" w14:textId="77777777" w:rsidR="00407C27" w:rsidRPr="00D32416" w:rsidRDefault="00022444" w:rsidP="00D32416">
      <w:pPr>
        <w:pStyle w:val="headinganchor"/>
        <w:shd w:val="clear" w:color="auto" w:fill="FFFFFF"/>
        <w:spacing w:before="0" w:beforeAutospacing="0" w:after="0" w:afterAutospacing="0" w:line="360" w:lineRule="auto"/>
        <w:rPr>
          <w:rFonts w:asciiTheme="minorHAnsi" w:hAnsiTheme="minorHAnsi" w:cstheme="minorHAnsi"/>
          <w:color w:val="232323"/>
          <w:sz w:val="22"/>
          <w:szCs w:val="22"/>
        </w:rPr>
      </w:pPr>
      <w:r w:rsidRPr="00D32416">
        <w:rPr>
          <w:rStyle w:val="h2"/>
          <w:rFonts w:asciiTheme="minorHAnsi" w:hAnsiTheme="minorHAnsi" w:cstheme="minorHAnsi"/>
          <w:bCs/>
          <w:i/>
          <w:color w:val="232323"/>
          <w:sz w:val="22"/>
          <w:szCs w:val="22"/>
        </w:rPr>
        <w:t>Γ) Ως κλινικά εντοπισμένο νεόπλασμα ενδιαμέσου κινδύνου κατά</w:t>
      </w:r>
      <w:r w:rsidR="00782873" w:rsidRPr="00D32416">
        <w:rPr>
          <w:rStyle w:val="h2"/>
          <w:rFonts w:asciiTheme="minorHAnsi" w:hAnsiTheme="minorHAnsi" w:cstheme="minorHAnsi"/>
          <w:bCs/>
          <w:i/>
          <w:color w:val="232323"/>
          <w:sz w:val="22"/>
          <w:szCs w:val="22"/>
        </w:rPr>
        <w:t xml:space="preserve"> </w:t>
      </w:r>
      <w:r w:rsidR="00782873" w:rsidRPr="00D32416">
        <w:rPr>
          <w:rStyle w:val="h2"/>
          <w:rFonts w:asciiTheme="minorHAnsi" w:hAnsiTheme="minorHAnsi" w:cstheme="minorHAnsi"/>
          <w:bCs/>
          <w:i/>
          <w:color w:val="232323"/>
          <w:sz w:val="22"/>
          <w:szCs w:val="22"/>
          <w:lang w:val="en-US"/>
        </w:rPr>
        <w:t>NCCN</w:t>
      </w:r>
      <w:r w:rsidRPr="00D32416">
        <w:rPr>
          <w:rStyle w:val="headingendmark"/>
          <w:rFonts w:asciiTheme="minorHAnsi" w:hAnsiTheme="minorHAnsi" w:cstheme="minorHAnsi"/>
          <w:i/>
          <w:color w:val="232323"/>
          <w:sz w:val="22"/>
          <w:szCs w:val="22"/>
        </w:rPr>
        <w:t>:</w:t>
      </w:r>
      <w:r w:rsidRPr="00D32416">
        <w:rPr>
          <w:rStyle w:val="headingendmark"/>
          <w:rFonts w:asciiTheme="minorHAnsi" w:hAnsiTheme="minorHAnsi" w:cstheme="minorHAnsi"/>
          <w:color w:val="232323"/>
          <w:sz w:val="22"/>
          <w:szCs w:val="22"/>
        </w:rPr>
        <w:t xml:space="preserve"> </w:t>
      </w:r>
      <w:r w:rsidRPr="00D32416">
        <w:rPr>
          <w:rStyle w:val="headingendmark"/>
          <w:rFonts w:asciiTheme="minorHAnsi" w:hAnsiTheme="minorHAnsi" w:cstheme="minorHAnsi"/>
          <w:color w:val="232323"/>
          <w:sz w:val="22"/>
          <w:szCs w:val="22"/>
          <w:lang w:val="en-US"/>
        </w:rPr>
        <w:t>O</w:t>
      </w:r>
      <w:r w:rsidRPr="00D32416">
        <w:rPr>
          <w:rStyle w:val="headingendmark"/>
          <w:rFonts w:asciiTheme="minorHAnsi" w:hAnsiTheme="minorHAnsi" w:cstheme="minorHAnsi"/>
          <w:color w:val="232323"/>
          <w:sz w:val="22"/>
          <w:szCs w:val="22"/>
        </w:rPr>
        <w:t>ι ασθενείς εμφανίζουν πιο εκτεταμένη, ενδοπροστατική νόσο</w:t>
      </w:r>
      <w:r w:rsidR="00782873"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 xml:space="preserve">(π.χ. </w:t>
      </w:r>
      <w:r w:rsidR="00782873"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 xml:space="preserve">διηθεί &gt; ήμισυ του ενός λοβού </w:t>
      </w:r>
      <w:r w:rsidR="00782873" w:rsidRPr="00D32416">
        <w:rPr>
          <w:rFonts w:asciiTheme="minorHAnsi" w:hAnsiTheme="minorHAnsi" w:cstheme="minorHAnsi"/>
          <w:color w:val="232323"/>
          <w:sz w:val="22"/>
          <w:szCs w:val="22"/>
        </w:rPr>
        <w:t>[</w:t>
      </w:r>
      <w:r w:rsidR="00782873" w:rsidRPr="00D32416">
        <w:rPr>
          <w:rFonts w:asciiTheme="minorHAnsi" w:hAnsiTheme="minorHAnsi" w:cstheme="minorHAnsi"/>
          <w:color w:val="232323"/>
          <w:sz w:val="22"/>
          <w:szCs w:val="22"/>
          <w:lang w:val="en-US"/>
        </w:rPr>
        <w:t>T</w:t>
      </w:r>
      <w:r w:rsidR="00782873" w:rsidRPr="00D32416">
        <w:rPr>
          <w:rFonts w:asciiTheme="minorHAnsi" w:hAnsiTheme="minorHAnsi" w:cstheme="minorHAnsi"/>
          <w:color w:val="232323"/>
          <w:sz w:val="22"/>
          <w:szCs w:val="22"/>
        </w:rPr>
        <w:t>2</w:t>
      </w:r>
      <w:r w:rsidR="00782873" w:rsidRPr="00D32416">
        <w:rPr>
          <w:rFonts w:asciiTheme="minorHAnsi" w:hAnsiTheme="minorHAnsi" w:cstheme="minorHAnsi"/>
          <w:color w:val="232323"/>
          <w:sz w:val="22"/>
          <w:szCs w:val="22"/>
          <w:lang w:val="en-US"/>
        </w:rPr>
        <w:t>b</w:t>
      </w:r>
      <w:r w:rsidR="00782873"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 xml:space="preserve">ή διηθεί και τους δυο λοβούς </w:t>
      </w:r>
      <w:r w:rsidR="00782873" w:rsidRPr="00D32416">
        <w:rPr>
          <w:rFonts w:asciiTheme="minorHAnsi" w:hAnsiTheme="minorHAnsi" w:cstheme="minorHAnsi"/>
          <w:color w:val="232323"/>
          <w:sz w:val="22"/>
          <w:szCs w:val="22"/>
        </w:rPr>
        <w:t>[</w:t>
      </w:r>
      <w:r w:rsidR="00782873" w:rsidRPr="00D32416">
        <w:rPr>
          <w:rFonts w:asciiTheme="minorHAnsi" w:hAnsiTheme="minorHAnsi" w:cstheme="minorHAnsi"/>
          <w:color w:val="232323"/>
          <w:sz w:val="22"/>
          <w:szCs w:val="22"/>
          <w:lang w:val="en-US"/>
        </w:rPr>
        <w:t>T</w:t>
      </w:r>
      <w:r w:rsidR="00782873" w:rsidRPr="00D32416">
        <w:rPr>
          <w:rFonts w:asciiTheme="minorHAnsi" w:hAnsiTheme="minorHAnsi" w:cstheme="minorHAnsi"/>
          <w:color w:val="232323"/>
          <w:sz w:val="22"/>
          <w:szCs w:val="22"/>
        </w:rPr>
        <w:t>2</w:t>
      </w:r>
      <w:r w:rsidR="00782873" w:rsidRPr="00D32416">
        <w:rPr>
          <w:rFonts w:asciiTheme="minorHAnsi" w:hAnsiTheme="minorHAnsi" w:cstheme="minorHAnsi"/>
          <w:color w:val="232323"/>
          <w:sz w:val="22"/>
          <w:szCs w:val="22"/>
          <w:lang w:val="en-US"/>
        </w:rPr>
        <w:t>c</w:t>
      </w:r>
      <w:r w:rsidR="00782873"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στην αρχική κλινική εξέταση ή απεικόνιση</w:t>
      </w:r>
      <w:r w:rsidR="00782873" w:rsidRPr="00D32416">
        <w:rPr>
          <w:rFonts w:asciiTheme="minorHAnsi" w:hAnsiTheme="minorHAnsi" w:cstheme="minorHAnsi"/>
          <w:color w:val="232323"/>
          <w:sz w:val="22"/>
          <w:szCs w:val="22"/>
        </w:rPr>
        <w:t>)</w:t>
      </w:r>
      <w:r w:rsidRPr="00D32416">
        <w:rPr>
          <w:rFonts w:asciiTheme="minorHAnsi" w:hAnsiTheme="minorHAnsi" w:cstheme="minorHAnsi"/>
          <w:color w:val="232323"/>
          <w:sz w:val="22"/>
          <w:szCs w:val="22"/>
        </w:rPr>
        <w:t>, αλλά χωρίς ανιχνεύσιμη εξωπροστατική επέκταση, ούτε διήθηση των σπερματοδόχων κύστεων.</w:t>
      </w:r>
      <w:r w:rsidR="00407C27" w:rsidRPr="00D32416">
        <w:rPr>
          <w:rFonts w:asciiTheme="minorHAnsi" w:hAnsiTheme="minorHAnsi" w:cstheme="minorHAnsi"/>
          <w:color w:val="232323"/>
          <w:sz w:val="22"/>
          <w:szCs w:val="22"/>
        </w:rPr>
        <w:t xml:space="preserve"> Σύμφωνα με τις κατευθυντήριες γραμμές του </w:t>
      </w:r>
      <w:r w:rsidR="00407C27" w:rsidRPr="00D32416">
        <w:rPr>
          <w:rFonts w:asciiTheme="minorHAnsi" w:hAnsiTheme="minorHAnsi" w:cstheme="minorHAnsi"/>
          <w:color w:val="232323"/>
          <w:sz w:val="22"/>
          <w:szCs w:val="22"/>
          <w:lang w:val="en-US"/>
        </w:rPr>
        <w:t>consensus</w:t>
      </w:r>
      <w:r w:rsidR="00407C27" w:rsidRPr="00D32416">
        <w:rPr>
          <w:rFonts w:asciiTheme="minorHAnsi" w:hAnsiTheme="minorHAnsi" w:cstheme="minorHAnsi"/>
          <w:color w:val="232323"/>
          <w:sz w:val="22"/>
          <w:szCs w:val="22"/>
        </w:rPr>
        <w:t xml:space="preserve"> του </w:t>
      </w:r>
      <w:r w:rsidR="00407C27" w:rsidRPr="00D32416">
        <w:rPr>
          <w:rFonts w:asciiTheme="minorHAnsi" w:hAnsiTheme="minorHAnsi" w:cstheme="minorHAnsi"/>
          <w:color w:val="232323"/>
          <w:sz w:val="22"/>
          <w:szCs w:val="22"/>
          <w:lang w:val="en-US"/>
        </w:rPr>
        <w:t>NCCN</w:t>
      </w:r>
      <w:r w:rsidR="002F004A" w:rsidRPr="00D32416">
        <w:rPr>
          <w:rFonts w:asciiTheme="minorHAnsi" w:hAnsiTheme="minorHAnsi" w:cstheme="minorHAnsi"/>
          <w:color w:val="232323"/>
          <w:sz w:val="22"/>
          <w:szCs w:val="22"/>
        </w:rPr>
        <w:t xml:space="preserve"> [11</w:t>
      </w:r>
      <w:r w:rsidR="00407C27" w:rsidRPr="00D32416">
        <w:rPr>
          <w:rFonts w:asciiTheme="minorHAnsi" w:hAnsiTheme="minorHAnsi" w:cstheme="minorHAnsi"/>
          <w:color w:val="232323"/>
          <w:sz w:val="22"/>
          <w:szCs w:val="22"/>
        </w:rPr>
        <w:t xml:space="preserve">], οι ασθενείς ενδιαμέσου κινδύνου χωρίζονται σε ευνοϊκή και μη ευνοϊκή κατηγορία. </w:t>
      </w:r>
    </w:p>
    <w:p w14:paraId="54899682" w14:textId="77777777" w:rsidR="00407C27" w:rsidRPr="00D32416" w:rsidRDefault="00407C27" w:rsidP="00D32416">
      <w:pPr>
        <w:pStyle w:val="headinganchor"/>
        <w:shd w:val="clear" w:color="auto" w:fill="FFFFFF"/>
        <w:spacing w:before="0" w:beforeAutospacing="0" w:after="0" w:afterAutospacing="0" w:line="360" w:lineRule="auto"/>
        <w:rPr>
          <w:rFonts w:asciiTheme="minorHAnsi" w:hAnsiTheme="minorHAnsi" w:cstheme="minorHAnsi"/>
          <w:color w:val="232323"/>
          <w:sz w:val="22"/>
          <w:szCs w:val="22"/>
        </w:rPr>
      </w:pPr>
      <w:r w:rsidRPr="00D32416">
        <w:rPr>
          <w:rFonts w:asciiTheme="minorHAnsi" w:hAnsiTheme="minorHAnsi" w:cstheme="minorHAnsi"/>
          <w:color w:val="232323"/>
          <w:sz w:val="22"/>
          <w:szCs w:val="22"/>
        </w:rPr>
        <w:t>Η ευνοϊκή κατηγορία έχει τα εξής χαρακτηριστικά:</w:t>
      </w:r>
      <w:r w:rsidR="000209A8"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T</w:t>
      </w:r>
      <w:r w:rsidRPr="00D32416">
        <w:rPr>
          <w:rFonts w:asciiTheme="minorHAnsi" w:hAnsiTheme="minorHAnsi" w:cstheme="minorHAnsi"/>
          <w:color w:val="232323"/>
          <w:sz w:val="22"/>
          <w:szCs w:val="22"/>
        </w:rPr>
        <w:t>2</w:t>
      </w:r>
      <w:r w:rsidRPr="00D32416">
        <w:rPr>
          <w:rFonts w:asciiTheme="minorHAnsi" w:hAnsiTheme="minorHAnsi" w:cstheme="minorHAnsi"/>
          <w:color w:val="232323"/>
          <w:sz w:val="22"/>
          <w:szCs w:val="22"/>
          <w:lang w:val="en-US"/>
        </w:rPr>
        <w:t>b</w:t>
      </w:r>
      <w:r w:rsidRPr="00D32416">
        <w:rPr>
          <w:rFonts w:asciiTheme="minorHAnsi" w:hAnsiTheme="minorHAnsi" w:cstheme="minorHAnsi"/>
          <w:color w:val="232323"/>
          <w:sz w:val="22"/>
          <w:szCs w:val="22"/>
        </w:rPr>
        <w:t xml:space="preserve"> - </w:t>
      </w:r>
      <w:r w:rsidRPr="00D32416">
        <w:rPr>
          <w:rFonts w:asciiTheme="minorHAnsi" w:hAnsiTheme="minorHAnsi" w:cstheme="minorHAnsi"/>
          <w:color w:val="232323"/>
          <w:sz w:val="22"/>
          <w:szCs w:val="22"/>
          <w:lang w:val="en-US"/>
        </w:rPr>
        <w:t>T</w:t>
      </w:r>
      <w:r w:rsidRPr="00D32416">
        <w:rPr>
          <w:rFonts w:asciiTheme="minorHAnsi" w:hAnsiTheme="minorHAnsi" w:cstheme="minorHAnsi"/>
          <w:color w:val="232323"/>
          <w:sz w:val="22"/>
          <w:szCs w:val="22"/>
        </w:rPr>
        <w:t>2</w:t>
      </w:r>
      <w:r w:rsidRPr="00D32416">
        <w:rPr>
          <w:rFonts w:asciiTheme="minorHAnsi" w:hAnsiTheme="minorHAnsi" w:cstheme="minorHAnsi"/>
          <w:color w:val="232323"/>
          <w:sz w:val="22"/>
          <w:szCs w:val="22"/>
          <w:lang w:val="en-US"/>
        </w:rPr>
        <w:t>c</w:t>
      </w:r>
      <w:r w:rsidRPr="00D32416">
        <w:rPr>
          <w:rFonts w:asciiTheme="minorHAnsi" w:hAnsiTheme="minorHAnsi" w:cstheme="minorHAnsi"/>
          <w:color w:val="232323"/>
          <w:sz w:val="22"/>
          <w:szCs w:val="22"/>
        </w:rPr>
        <w:t xml:space="preserve"> ή</w:t>
      </w:r>
      <w:r w:rsidR="000209A8"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Gleason</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score</w:t>
      </w:r>
      <w:r w:rsidRPr="00D32416">
        <w:rPr>
          <w:rFonts w:asciiTheme="minorHAnsi" w:hAnsiTheme="minorHAnsi" w:cstheme="minorHAnsi"/>
          <w:color w:val="232323"/>
          <w:sz w:val="22"/>
          <w:szCs w:val="22"/>
        </w:rPr>
        <w:t xml:space="preserve"> 3+4 = 7 (</w:t>
      </w:r>
      <w:r w:rsidRPr="00D32416">
        <w:rPr>
          <w:rFonts w:asciiTheme="minorHAnsi" w:hAnsiTheme="minorHAnsi" w:cstheme="minorHAnsi"/>
          <w:color w:val="232323"/>
          <w:sz w:val="22"/>
          <w:szCs w:val="22"/>
          <w:lang w:val="en-US"/>
        </w:rPr>
        <w:t>grade</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group</w:t>
      </w:r>
      <w:r w:rsidRPr="00D32416">
        <w:rPr>
          <w:rFonts w:asciiTheme="minorHAnsi" w:hAnsiTheme="minorHAnsi" w:cstheme="minorHAnsi"/>
          <w:color w:val="232323"/>
          <w:sz w:val="22"/>
          <w:szCs w:val="22"/>
        </w:rPr>
        <w:t xml:space="preserve"> 2) ή</w:t>
      </w:r>
      <w:r w:rsidR="000209A8"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PSA</w:t>
      </w:r>
      <w:r w:rsidRPr="00D32416">
        <w:rPr>
          <w:rFonts w:asciiTheme="minorHAnsi" w:hAnsiTheme="minorHAnsi" w:cstheme="minorHAnsi"/>
          <w:color w:val="232323"/>
          <w:sz w:val="22"/>
          <w:szCs w:val="22"/>
        </w:rPr>
        <w:t xml:space="preserve"> 10 - 20 </w:t>
      </w:r>
      <w:r w:rsidRPr="00D32416">
        <w:rPr>
          <w:rFonts w:asciiTheme="minorHAnsi" w:hAnsiTheme="minorHAnsi" w:cstheme="minorHAnsi"/>
          <w:color w:val="232323"/>
          <w:sz w:val="22"/>
          <w:szCs w:val="22"/>
          <w:lang w:val="en-US"/>
        </w:rPr>
        <w:t>ng</w:t>
      </w:r>
      <w:r w:rsidRPr="00D32416">
        <w:rPr>
          <w:rFonts w:asciiTheme="minorHAnsi" w:hAnsiTheme="minorHAnsi" w:cstheme="minorHAnsi"/>
          <w:color w:val="232323"/>
          <w:sz w:val="22"/>
          <w:szCs w:val="22"/>
        </w:rPr>
        <w:t>/</w:t>
      </w:r>
      <w:r w:rsidRPr="00D32416">
        <w:rPr>
          <w:rFonts w:asciiTheme="minorHAnsi" w:hAnsiTheme="minorHAnsi" w:cstheme="minorHAnsi"/>
          <w:color w:val="232323"/>
          <w:sz w:val="22"/>
          <w:szCs w:val="22"/>
          <w:lang w:val="en-US"/>
        </w:rPr>
        <w:t>mL</w:t>
      </w:r>
      <w:r w:rsidRPr="00D32416">
        <w:rPr>
          <w:rFonts w:asciiTheme="minorHAnsi" w:hAnsiTheme="minorHAnsi" w:cstheme="minorHAnsi"/>
          <w:color w:val="232323"/>
          <w:sz w:val="22"/>
          <w:szCs w:val="22"/>
        </w:rPr>
        <w:t xml:space="preserve"> και</w:t>
      </w:r>
      <w:r w:rsidR="000209A8" w:rsidRPr="00D32416">
        <w:rPr>
          <w:rFonts w:asciiTheme="minorHAnsi" w:hAnsiTheme="minorHAnsi" w:cstheme="minorHAnsi"/>
          <w:color w:val="232323"/>
          <w:sz w:val="22"/>
          <w:szCs w:val="22"/>
        </w:rPr>
        <w:t xml:space="preserve"> π</w:t>
      </w:r>
      <w:r w:rsidRPr="00D32416">
        <w:rPr>
          <w:rFonts w:asciiTheme="minorHAnsi" w:hAnsiTheme="minorHAnsi" w:cstheme="minorHAnsi"/>
          <w:color w:val="232323"/>
          <w:sz w:val="22"/>
          <w:szCs w:val="22"/>
        </w:rPr>
        <w:t>οσοστό θετικών βιοψιών &lt;50 %.</w:t>
      </w:r>
      <w:r w:rsidR="000209A8"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Η μη ευνοϊκή κατηγορία εμφανίζει τα εξής χαρακτηριστικά:</w:t>
      </w:r>
      <w:r w:rsidR="000209A8"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T</w:t>
      </w:r>
      <w:r w:rsidRPr="00D32416">
        <w:rPr>
          <w:rFonts w:asciiTheme="minorHAnsi" w:hAnsiTheme="minorHAnsi" w:cstheme="minorHAnsi"/>
          <w:color w:val="232323"/>
          <w:sz w:val="22"/>
          <w:szCs w:val="22"/>
        </w:rPr>
        <w:t>2</w:t>
      </w:r>
      <w:r w:rsidRPr="00D32416">
        <w:rPr>
          <w:rFonts w:asciiTheme="minorHAnsi" w:hAnsiTheme="minorHAnsi" w:cstheme="minorHAnsi"/>
          <w:color w:val="232323"/>
          <w:sz w:val="22"/>
          <w:szCs w:val="22"/>
          <w:lang w:val="en-US"/>
        </w:rPr>
        <w:t>b</w:t>
      </w:r>
      <w:r w:rsidRPr="00D32416">
        <w:rPr>
          <w:rFonts w:asciiTheme="minorHAnsi" w:hAnsiTheme="minorHAnsi" w:cstheme="minorHAnsi"/>
          <w:color w:val="232323"/>
          <w:sz w:val="22"/>
          <w:szCs w:val="22"/>
        </w:rPr>
        <w:t xml:space="preserve"> - </w:t>
      </w:r>
      <w:r w:rsidRPr="00D32416">
        <w:rPr>
          <w:rFonts w:asciiTheme="minorHAnsi" w:hAnsiTheme="minorHAnsi" w:cstheme="minorHAnsi"/>
          <w:color w:val="232323"/>
          <w:sz w:val="22"/>
          <w:szCs w:val="22"/>
          <w:lang w:val="en-US"/>
        </w:rPr>
        <w:t>T</w:t>
      </w:r>
      <w:r w:rsidRPr="00D32416">
        <w:rPr>
          <w:rFonts w:asciiTheme="minorHAnsi" w:hAnsiTheme="minorHAnsi" w:cstheme="minorHAnsi"/>
          <w:color w:val="232323"/>
          <w:sz w:val="22"/>
          <w:szCs w:val="22"/>
        </w:rPr>
        <w:t>2</w:t>
      </w:r>
      <w:r w:rsidRPr="00D32416">
        <w:rPr>
          <w:rFonts w:asciiTheme="minorHAnsi" w:hAnsiTheme="minorHAnsi" w:cstheme="minorHAnsi"/>
          <w:color w:val="232323"/>
          <w:sz w:val="22"/>
          <w:szCs w:val="22"/>
          <w:lang w:val="en-US"/>
        </w:rPr>
        <w:t>c</w:t>
      </w:r>
      <w:r w:rsidRPr="00D32416">
        <w:rPr>
          <w:rFonts w:asciiTheme="minorHAnsi" w:hAnsiTheme="minorHAnsi" w:cstheme="minorHAnsi"/>
          <w:color w:val="232323"/>
          <w:sz w:val="22"/>
          <w:szCs w:val="22"/>
        </w:rPr>
        <w:t xml:space="preserve"> ή</w:t>
      </w:r>
      <w:r w:rsidR="000209A8"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Gleason</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score</w:t>
      </w:r>
      <w:r w:rsidRPr="00D32416">
        <w:rPr>
          <w:rFonts w:asciiTheme="minorHAnsi" w:hAnsiTheme="minorHAnsi" w:cstheme="minorHAnsi"/>
          <w:color w:val="232323"/>
          <w:sz w:val="22"/>
          <w:szCs w:val="22"/>
        </w:rPr>
        <w:t xml:space="preserve"> 3+4 = 7 (</w:t>
      </w:r>
      <w:r w:rsidRPr="00D32416">
        <w:rPr>
          <w:rFonts w:asciiTheme="minorHAnsi" w:hAnsiTheme="minorHAnsi" w:cstheme="minorHAnsi"/>
          <w:color w:val="232323"/>
          <w:sz w:val="22"/>
          <w:szCs w:val="22"/>
          <w:lang w:val="en-US"/>
        </w:rPr>
        <w:t>grade</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group</w:t>
      </w:r>
      <w:r w:rsidRPr="00D32416">
        <w:rPr>
          <w:rFonts w:asciiTheme="minorHAnsi" w:hAnsiTheme="minorHAnsi" w:cstheme="minorHAnsi"/>
          <w:color w:val="232323"/>
          <w:sz w:val="22"/>
          <w:szCs w:val="22"/>
        </w:rPr>
        <w:t xml:space="preserve"> 2) ή </w:t>
      </w:r>
      <w:r w:rsidRPr="00D32416">
        <w:rPr>
          <w:rFonts w:asciiTheme="minorHAnsi" w:hAnsiTheme="minorHAnsi" w:cstheme="minorHAnsi"/>
          <w:color w:val="232323"/>
          <w:sz w:val="22"/>
          <w:szCs w:val="22"/>
          <w:lang w:val="en-US"/>
        </w:rPr>
        <w:t>Gleason</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score</w:t>
      </w:r>
      <w:r w:rsidRPr="00D32416">
        <w:rPr>
          <w:rFonts w:asciiTheme="minorHAnsi" w:hAnsiTheme="minorHAnsi" w:cstheme="minorHAnsi"/>
          <w:color w:val="232323"/>
          <w:sz w:val="22"/>
          <w:szCs w:val="22"/>
        </w:rPr>
        <w:t xml:space="preserve"> 4+3 = 7 (</w:t>
      </w:r>
      <w:r w:rsidRPr="00D32416">
        <w:rPr>
          <w:rFonts w:asciiTheme="minorHAnsi" w:hAnsiTheme="minorHAnsi" w:cstheme="minorHAnsi"/>
          <w:color w:val="232323"/>
          <w:sz w:val="22"/>
          <w:szCs w:val="22"/>
          <w:lang w:val="en-US"/>
        </w:rPr>
        <w:t>grade</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group</w:t>
      </w:r>
      <w:r w:rsidRPr="00D32416">
        <w:rPr>
          <w:rFonts w:asciiTheme="minorHAnsi" w:hAnsiTheme="minorHAnsi" w:cstheme="minorHAnsi"/>
          <w:color w:val="232323"/>
          <w:sz w:val="22"/>
          <w:szCs w:val="22"/>
        </w:rPr>
        <w:t xml:space="preserve"> 3) ή</w:t>
      </w:r>
      <w:r w:rsidR="000209A8"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PSA</w:t>
      </w:r>
      <w:r w:rsidRPr="00D32416">
        <w:rPr>
          <w:rFonts w:asciiTheme="minorHAnsi" w:hAnsiTheme="minorHAnsi" w:cstheme="minorHAnsi"/>
          <w:color w:val="232323"/>
          <w:sz w:val="22"/>
          <w:szCs w:val="22"/>
        </w:rPr>
        <w:t xml:space="preserve"> 10-20 </w:t>
      </w:r>
      <w:r w:rsidRPr="00D32416">
        <w:rPr>
          <w:rFonts w:asciiTheme="minorHAnsi" w:hAnsiTheme="minorHAnsi" w:cstheme="minorHAnsi"/>
          <w:color w:val="232323"/>
          <w:sz w:val="22"/>
          <w:szCs w:val="22"/>
          <w:lang w:val="en-US"/>
        </w:rPr>
        <w:t>ng</w:t>
      </w:r>
      <w:r w:rsidRPr="00D32416">
        <w:rPr>
          <w:rFonts w:asciiTheme="minorHAnsi" w:hAnsiTheme="minorHAnsi" w:cstheme="minorHAnsi"/>
          <w:color w:val="232323"/>
          <w:sz w:val="22"/>
          <w:szCs w:val="22"/>
        </w:rPr>
        <w:t>/</w:t>
      </w:r>
      <w:r w:rsidRPr="00D32416">
        <w:rPr>
          <w:rFonts w:asciiTheme="minorHAnsi" w:hAnsiTheme="minorHAnsi" w:cstheme="minorHAnsi"/>
          <w:color w:val="232323"/>
          <w:sz w:val="22"/>
          <w:szCs w:val="22"/>
          <w:lang w:val="en-US"/>
        </w:rPr>
        <w:t>mL</w:t>
      </w:r>
      <w:r w:rsidRPr="00D32416">
        <w:rPr>
          <w:rFonts w:asciiTheme="minorHAnsi" w:hAnsiTheme="minorHAnsi" w:cstheme="minorHAnsi"/>
          <w:color w:val="232323"/>
          <w:sz w:val="22"/>
          <w:szCs w:val="22"/>
        </w:rPr>
        <w:t>.</w:t>
      </w:r>
    </w:p>
    <w:p w14:paraId="3D5FEA12" w14:textId="77777777" w:rsidR="000209A8" w:rsidRPr="00D32416" w:rsidRDefault="00407C27" w:rsidP="00D32416">
      <w:pPr>
        <w:pStyle w:val="headinganchor"/>
        <w:shd w:val="clear" w:color="auto" w:fill="FFFFFF"/>
        <w:spacing w:before="0" w:beforeAutospacing="0" w:after="0" w:afterAutospacing="0" w:line="360" w:lineRule="auto"/>
        <w:ind w:firstLine="720"/>
        <w:rPr>
          <w:rFonts w:asciiTheme="minorHAnsi" w:hAnsiTheme="minorHAnsi" w:cstheme="minorHAnsi"/>
          <w:color w:val="232323"/>
          <w:sz w:val="22"/>
          <w:szCs w:val="22"/>
        </w:rPr>
      </w:pPr>
      <w:r w:rsidRPr="00D32416">
        <w:rPr>
          <w:rFonts w:asciiTheme="minorHAnsi" w:hAnsiTheme="minorHAnsi" w:cstheme="minorHAnsi"/>
          <w:color w:val="232323"/>
          <w:sz w:val="22"/>
          <w:szCs w:val="22"/>
        </w:rPr>
        <w:t>Οι θεραπευτικές επιλογές που έχουν οι ασθενείς είναι οι ακόλουθες</w:t>
      </w:r>
      <w:r w:rsidR="000209A8" w:rsidRPr="00D32416">
        <w:rPr>
          <w:rFonts w:asciiTheme="minorHAnsi" w:hAnsiTheme="minorHAnsi" w:cstheme="minorHAnsi"/>
          <w:color w:val="232323"/>
          <w:sz w:val="22"/>
          <w:szCs w:val="22"/>
        </w:rPr>
        <w:t xml:space="preserve">: </w:t>
      </w:r>
      <w:r w:rsidR="00B86442" w:rsidRPr="00D32416">
        <w:rPr>
          <w:rFonts w:asciiTheme="minorHAnsi" w:hAnsiTheme="minorHAnsi" w:cstheme="minorHAnsi"/>
          <w:color w:val="232323"/>
          <w:sz w:val="22"/>
          <w:szCs w:val="22"/>
        </w:rPr>
        <w:t>Α)</w:t>
      </w:r>
      <w:r w:rsidRPr="00D32416">
        <w:rPr>
          <w:rFonts w:asciiTheme="minorHAnsi" w:hAnsiTheme="minorHAnsi" w:cstheme="minorHAnsi"/>
          <w:color w:val="232323"/>
          <w:sz w:val="22"/>
          <w:szCs w:val="22"/>
        </w:rPr>
        <w:t>Ακτινοθεραπεία (εξωτερική ή βραχυθεραπεία), ± ταυτόχρονη ορμονοθεραπεία</w:t>
      </w:r>
      <w:r w:rsidR="002F004A" w:rsidRPr="00D32416">
        <w:rPr>
          <w:rFonts w:asciiTheme="minorHAnsi" w:hAnsiTheme="minorHAnsi" w:cstheme="minorHAnsi"/>
          <w:color w:val="232323"/>
          <w:sz w:val="22"/>
          <w:szCs w:val="22"/>
        </w:rPr>
        <w:t xml:space="preserve"> [12</w:t>
      </w:r>
      <w:r w:rsidR="00892E74" w:rsidRPr="00D32416">
        <w:rPr>
          <w:rFonts w:asciiTheme="minorHAnsi" w:hAnsiTheme="minorHAnsi" w:cstheme="minorHAnsi"/>
          <w:color w:val="232323"/>
          <w:sz w:val="22"/>
          <w:szCs w:val="22"/>
        </w:rPr>
        <w:t>, 13</w:t>
      </w:r>
      <w:r w:rsidRPr="00D32416">
        <w:rPr>
          <w:rFonts w:asciiTheme="minorHAnsi" w:hAnsiTheme="minorHAnsi" w:cstheme="minorHAnsi"/>
          <w:color w:val="232323"/>
          <w:sz w:val="22"/>
          <w:szCs w:val="22"/>
        </w:rPr>
        <w:t>].</w:t>
      </w:r>
      <w:r w:rsidR="00007A7F" w:rsidRPr="00D32416">
        <w:rPr>
          <w:rFonts w:asciiTheme="minorHAnsi" w:hAnsiTheme="minorHAnsi" w:cstheme="minorHAnsi"/>
          <w:color w:val="232323"/>
          <w:sz w:val="22"/>
          <w:szCs w:val="22"/>
        </w:rPr>
        <w:t xml:space="preserve"> Η απόφαση του να χορηγηθεί ταυτόχρονη ορμονοθεραπεία, μπορεί να κατευθυνθεί από τη μοριακή ανάλυση των προγνωστικών βιοδεικτών του ιστού (Oncotype DX, Prolaris, </w:t>
      </w:r>
      <w:r w:rsidR="00007A7F" w:rsidRPr="00D32416">
        <w:rPr>
          <w:rFonts w:asciiTheme="minorHAnsi" w:hAnsiTheme="minorHAnsi" w:cstheme="minorHAnsi"/>
          <w:color w:val="232323"/>
          <w:sz w:val="22"/>
          <w:szCs w:val="22"/>
        </w:rPr>
        <w:lastRenderedPageBreak/>
        <w:t xml:space="preserve">ConfirmMDx, Decipher) </w:t>
      </w:r>
      <w:r w:rsidR="002F004A" w:rsidRPr="00D32416">
        <w:rPr>
          <w:rFonts w:asciiTheme="minorHAnsi" w:hAnsiTheme="minorHAnsi" w:cstheme="minorHAnsi"/>
          <w:color w:val="232323"/>
          <w:sz w:val="22"/>
          <w:szCs w:val="22"/>
        </w:rPr>
        <w:t>[16</w:t>
      </w:r>
      <w:r w:rsidRPr="00D32416">
        <w:rPr>
          <w:rFonts w:asciiTheme="minorHAnsi" w:hAnsiTheme="minorHAnsi" w:cstheme="minorHAnsi"/>
          <w:color w:val="232323"/>
          <w:sz w:val="22"/>
          <w:szCs w:val="22"/>
        </w:rPr>
        <w:t xml:space="preserve">]. </w:t>
      </w:r>
      <w:r w:rsidR="000209A8" w:rsidRPr="00D32416">
        <w:rPr>
          <w:rFonts w:asciiTheme="minorHAnsi" w:hAnsiTheme="minorHAnsi" w:cstheme="minorHAnsi"/>
          <w:color w:val="232323"/>
          <w:sz w:val="22"/>
          <w:szCs w:val="22"/>
        </w:rPr>
        <w:t xml:space="preserve"> </w:t>
      </w:r>
      <w:r w:rsidR="00B86442" w:rsidRPr="00D32416">
        <w:rPr>
          <w:rFonts w:asciiTheme="minorHAnsi" w:hAnsiTheme="minorHAnsi" w:cstheme="minorHAnsi"/>
          <w:color w:val="232323"/>
          <w:sz w:val="22"/>
          <w:szCs w:val="22"/>
        </w:rPr>
        <w:t xml:space="preserve">Β) Ριζική προστατεκτομή με λεμφαδενικό καθαρισμό. Σε περίπτωση </w:t>
      </w:r>
      <w:r w:rsidR="00781EA5" w:rsidRPr="00D32416">
        <w:rPr>
          <w:rFonts w:asciiTheme="minorHAnsi" w:hAnsiTheme="minorHAnsi" w:cstheme="minorHAnsi"/>
          <w:color w:val="232323"/>
          <w:sz w:val="22"/>
          <w:szCs w:val="22"/>
        </w:rPr>
        <w:t xml:space="preserve">παρουσίας </w:t>
      </w:r>
      <w:r w:rsidR="00B86442" w:rsidRPr="00D32416">
        <w:rPr>
          <w:rFonts w:asciiTheme="minorHAnsi" w:hAnsiTheme="minorHAnsi" w:cstheme="minorHAnsi"/>
          <w:color w:val="232323"/>
          <w:sz w:val="22"/>
          <w:szCs w:val="22"/>
        </w:rPr>
        <w:t xml:space="preserve">μη </w:t>
      </w:r>
      <w:r w:rsidR="00D3754F" w:rsidRPr="00D32416">
        <w:rPr>
          <w:rFonts w:asciiTheme="minorHAnsi" w:hAnsiTheme="minorHAnsi" w:cstheme="minorHAnsi"/>
          <w:color w:val="232323"/>
          <w:sz w:val="22"/>
          <w:szCs w:val="22"/>
        </w:rPr>
        <w:t>ευνοϊκών</w:t>
      </w:r>
      <w:r w:rsidR="00B86442" w:rsidRPr="00D32416">
        <w:rPr>
          <w:rFonts w:asciiTheme="minorHAnsi" w:hAnsiTheme="minorHAnsi" w:cstheme="minorHAnsi"/>
          <w:color w:val="232323"/>
          <w:sz w:val="22"/>
          <w:szCs w:val="22"/>
        </w:rPr>
        <w:t xml:space="preserve"> προγνωστικών παραγόντων στην ιστολογική έκθεση του παθολογο-ανατομικού παρασκευάσματος</w:t>
      </w:r>
      <w:r w:rsidR="00781EA5" w:rsidRPr="00D32416">
        <w:rPr>
          <w:rFonts w:asciiTheme="minorHAnsi" w:hAnsiTheme="minorHAnsi" w:cstheme="minorHAnsi"/>
          <w:color w:val="232323"/>
          <w:sz w:val="22"/>
          <w:szCs w:val="22"/>
        </w:rPr>
        <w:t xml:space="preserve"> όπως εξωπροστατική επέκταση, διήθηση σπερματοδόχων κύστεων ή λεμφαδένων</w:t>
      </w:r>
      <w:r w:rsidR="00B86442" w:rsidRPr="00D32416">
        <w:rPr>
          <w:rFonts w:asciiTheme="minorHAnsi" w:hAnsiTheme="minorHAnsi" w:cstheme="minorHAnsi"/>
          <w:color w:val="232323"/>
          <w:sz w:val="22"/>
          <w:szCs w:val="22"/>
        </w:rPr>
        <w:t>, μπορεί να χορηγηθεί επικουρική ακτινοθεραπεία</w:t>
      </w:r>
      <w:r w:rsidR="00E50782" w:rsidRPr="00D32416">
        <w:rPr>
          <w:rFonts w:asciiTheme="minorHAnsi" w:hAnsiTheme="minorHAnsi" w:cstheme="minorHAnsi"/>
          <w:color w:val="232323"/>
          <w:sz w:val="22"/>
          <w:szCs w:val="22"/>
        </w:rPr>
        <w:t>.</w:t>
      </w:r>
      <w:r w:rsidR="000209A8" w:rsidRPr="00D32416">
        <w:rPr>
          <w:rFonts w:asciiTheme="minorHAnsi" w:hAnsiTheme="minorHAnsi" w:cstheme="minorHAnsi"/>
          <w:color w:val="232323"/>
          <w:sz w:val="22"/>
          <w:szCs w:val="22"/>
        </w:rPr>
        <w:t xml:space="preserve"> </w:t>
      </w:r>
      <w:r w:rsidR="00781EA5" w:rsidRPr="00D32416">
        <w:rPr>
          <w:rFonts w:asciiTheme="minorHAnsi" w:hAnsiTheme="minorHAnsi" w:cstheme="minorHAnsi"/>
          <w:color w:val="232323"/>
          <w:sz w:val="22"/>
          <w:szCs w:val="22"/>
        </w:rPr>
        <w:t>Γ) Ενεργή παρακολούθηση</w:t>
      </w:r>
      <w:r w:rsidR="00F03545" w:rsidRPr="00D32416">
        <w:rPr>
          <w:rFonts w:asciiTheme="minorHAnsi" w:hAnsiTheme="minorHAnsi" w:cstheme="minorHAnsi"/>
          <w:color w:val="232323"/>
          <w:sz w:val="22"/>
          <w:szCs w:val="22"/>
        </w:rPr>
        <w:t>.</w:t>
      </w:r>
    </w:p>
    <w:p w14:paraId="23A37D26" w14:textId="77777777" w:rsidR="000209A8" w:rsidRPr="00D32416" w:rsidRDefault="00057E7D" w:rsidP="00D32416">
      <w:pPr>
        <w:pStyle w:val="headinganchor"/>
        <w:shd w:val="clear" w:color="auto" w:fill="FFFFFF"/>
        <w:spacing w:after="0" w:line="360" w:lineRule="auto"/>
        <w:rPr>
          <w:rFonts w:asciiTheme="minorHAnsi" w:hAnsiTheme="minorHAnsi" w:cstheme="minorHAnsi"/>
          <w:i/>
          <w:color w:val="232323"/>
          <w:sz w:val="22"/>
          <w:szCs w:val="22"/>
        </w:rPr>
      </w:pPr>
      <w:r w:rsidRPr="00D32416">
        <w:rPr>
          <w:rFonts w:asciiTheme="minorHAnsi" w:hAnsiTheme="minorHAnsi" w:cstheme="minorHAnsi"/>
          <w:i/>
          <w:color w:val="232323"/>
          <w:sz w:val="22"/>
          <w:szCs w:val="22"/>
        </w:rPr>
        <w:t>Τεχνικές ακτινοθεραπείας στον τοπικά προχωρημένο καρκίνο προστάτου</w:t>
      </w:r>
      <w:r w:rsidR="000209A8" w:rsidRPr="00D32416">
        <w:rPr>
          <w:rFonts w:asciiTheme="minorHAnsi" w:hAnsiTheme="minorHAnsi" w:cstheme="minorHAnsi"/>
          <w:i/>
          <w:color w:val="232323"/>
          <w:sz w:val="22"/>
          <w:szCs w:val="22"/>
        </w:rPr>
        <w:t xml:space="preserve"> </w:t>
      </w:r>
    </w:p>
    <w:p w14:paraId="5204CEA7" w14:textId="77777777" w:rsidR="00EC5251" w:rsidRPr="00D32416" w:rsidRDefault="00057E7D" w:rsidP="00D32416">
      <w:pPr>
        <w:pStyle w:val="headinganchor"/>
        <w:shd w:val="clear" w:color="auto" w:fill="FFFFFF"/>
        <w:spacing w:after="0" w:line="360" w:lineRule="auto"/>
        <w:rPr>
          <w:rFonts w:asciiTheme="minorHAnsi" w:hAnsiTheme="minorHAnsi" w:cstheme="minorHAnsi"/>
          <w:i/>
          <w:color w:val="232323"/>
          <w:sz w:val="22"/>
          <w:szCs w:val="22"/>
        </w:rPr>
      </w:pPr>
      <w:r w:rsidRPr="00D32416">
        <w:rPr>
          <w:rFonts w:asciiTheme="minorHAnsi" w:hAnsiTheme="minorHAnsi" w:cstheme="minorHAnsi"/>
          <w:color w:val="232323"/>
          <w:sz w:val="22"/>
          <w:szCs w:val="22"/>
        </w:rPr>
        <w:t>Οι νεότερες σύμμορφες τεχνικές ακτινοθεραπείας, ειδικά η διαμορφούμενης έντασης (</w:t>
      </w:r>
      <w:r w:rsidRPr="00D32416">
        <w:rPr>
          <w:rFonts w:asciiTheme="minorHAnsi" w:hAnsiTheme="minorHAnsi" w:cstheme="minorHAnsi"/>
          <w:color w:val="232323"/>
          <w:sz w:val="22"/>
          <w:szCs w:val="22"/>
          <w:lang w:val="en-US"/>
        </w:rPr>
        <w:t>Intensity</w:t>
      </w:r>
      <w:r w:rsidRPr="00D32416">
        <w:rPr>
          <w:rFonts w:asciiTheme="minorHAnsi" w:hAnsiTheme="minorHAnsi" w:cstheme="minorHAnsi"/>
          <w:color w:val="232323"/>
          <w:sz w:val="22"/>
          <w:szCs w:val="22"/>
        </w:rPr>
        <w:t>-</w:t>
      </w:r>
      <w:r w:rsidRPr="00D32416">
        <w:rPr>
          <w:rFonts w:asciiTheme="minorHAnsi" w:hAnsiTheme="minorHAnsi" w:cstheme="minorHAnsi"/>
          <w:color w:val="232323"/>
          <w:sz w:val="22"/>
          <w:szCs w:val="22"/>
          <w:lang w:val="en-US"/>
        </w:rPr>
        <w:t>Modulated</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Radiation</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Therapy</w:t>
      </w:r>
      <w:r w:rsidRPr="00D32416">
        <w:rPr>
          <w:rFonts w:asciiTheme="minorHAnsi" w:hAnsiTheme="minorHAnsi" w:cstheme="minorHAnsi"/>
          <w:color w:val="232323"/>
          <w:sz w:val="22"/>
          <w:szCs w:val="22"/>
        </w:rPr>
        <w:t xml:space="preserve"> - </w:t>
      </w:r>
      <w:r w:rsidRPr="00D32416">
        <w:rPr>
          <w:rFonts w:asciiTheme="minorHAnsi" w:hAnsiTheme="minorHAnsi" w:cstheme="minorHAnsi"/>
          <w:color w:val="232323"/>
          <w:sz w:val="22"/>
          <w:szCs w:val="22"/>
          <w:lang w:val="en-US"/>
        </w:rPr>
        <w:t>IMRT</w:t>
      </w:r>
      <w:r w:rsidRPr="00D32416">
        <w:rPr>
          <w:rFonts w:asciiTheme="minorHAnsi" w:hAnsiTheme="minorHAnsi" w:cstheme="minorHAnsi"/>
          <w:color w:val="232323"/>
          <w:sz w:val="22"/>
          <w:szCs w:val="22"/>
        </w:rPr>
        <w:t>) και η απεικονιστικά καθοδηγούμενη ακτινοθεραπεία (</w:t>
      </w:r>
      <w:r w:rsidRPr="00D32416">
        <w:rPr>
          <w:rFonts w:asciiTheme="minorHAnsi" w:hAnsiTheme="minorHAnsi" w:cstheme="minorHAnsi"/>
          <w:color w:val="232323"/>
          <w:sz w:val="22"/>
          <w:szCs w:val="22"/>
          <w:lang w:val="en-US"/>
        </w:rPr>
        <w:t>Image</w:t>
      </w:r>
      <w:r w:rsidRPr="00D32416">
        <w:rPr>
          <w:rFonts w:asciiTheme="minorHAnsi" w:hAnsiTheme="minorHAnsi" w:cstheme="minorHAnsi"/>
          <w:color w:val="232323"/>
          <w:sz w:val="22"/>
          <w:szCs w:val="22"/>
        </w:rPr>
        <w:t>-</w:t>
      </w:r>
      <w:r w:rsidRPr="00D32416">
        <w:rPr>
          <w:rFonts w:asciiTheme="minorHAnsi" w:hAnsiTheme="minorHAnsi" w:cstheme="minorHAnsi"/>
          <w:color w:val="232323"/>
          <w:sz w:val="22"/>
          <w:szCs w:val="22"/>
          <w:lang w:val="en-US"/>
        </w:rPr>
        <w:t>Guided</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Radiation</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Therapy</w:t>
      </w:r>
      <w:r w:rsidRPr="00D32416">
        <w:rPr>
          <w:rFonts w:asciiTheme="minorHAnsi" w:hAnsiTheme="minorHAnsi" w:cstheme="minorHAnsi"/>
          <w:color w:val="232323"/>
          <w:sz w:val="22"/>
          <w:szCs w:val="22"/>
        </w:rPr>
        <w:t xml:space="preserve"> - </w:t>
      </w:r>
      <w:r w:rsidRPr="00D32416">
        <w:rPr>
          <w:rFonts w:asciiTheme="minorHAnsi" w:hAnsiTheme="minorHAnsi" w:cstheme="minorHAnsi"/>
          <w:color w:val="232323"/>
          <w:sz w:val="22"/>
          <w:szCs w:val="22"/>
          <w:lang w:val="en-US"/>
        </w:rPr>
        <w:t>IGRT</w:t>
      </w:r>
      <w:r w:rsidRPr="00D32416">
        <w:rPr>
          <w:rFonts w:asciiTheme="minorHAnsi" w:hAnsiTheme="minorHAnsi" w:cstheme="minorHAnsi"/>
          <w:color w:val="232323"/>
          <w:sz w:val="22"/>
          <w:szCs w:val="22"/>
        </w:rPr>
        <w:t xml:space="preserve">), αποτελούν τις νεότερες </w:t>
      </w:r>
      <w:r w:rsidRPr="00D32416">
        <w:rPr>
          <w:rFonts w:asciiTheme="minorHAnsi" w:hAnsiTheme="minorHAnsi" w:cstheme="minorHAnsi"/>
          <w:color w:val="232323"/>
          <w:sz w:val="22"/>
          <w:szCs w:val="22"/>
          <w:lang w:val="en-US"/>
        </w:rPr>
        <w:t>standard</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of</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care</w:t>
      </w:r>
      <w:r w:rsidRPr="00D32416">
        <w:rPr>
          <w:rFonts w:asciiTheme="minorHAnsi" w:hAnsiTheme="minorHAnsi" w:cstheme="minorHAnsi"/>
          <w:color w:val="232323"/>
          <w:sz w:val="22"/>
          <w:szCs w:val="22"/>
        </w:rPr>
        <w:t xml:space="preserve"> τεχνικές για τη θεραπευτική αντιμετώπιση του εντοπισμένου καρκίνου του προστάτου. Οι συγκεκριμένες τεχνικές επιτρέπουν </w:t>
      </w:r>
      <w:r w:rsidR="0067126F">
        <w:rPr>
          <w:rFonts w:asciiTheme="minorHAnsi" w:hAnsiTheme="minorHAnsi" w:cstheme="minorHAnsi"/>
          <w:color w:val="232323"/>
          <w:sz w:val="22"/>
          <w:szCs w:val="22"/>
        </w:rPr>
        <w:t>τη χορήγηση υψηλών δόσεων στον ό</w:t>
      </w:r>
      <w:r w:rsidRPr="00D32416">
        <w:rPr>
          <w:rFonts w:asciiTheme="minorHAnsi" w:hAnsiTheme="minorHAnsi" w:cstheme="minorHAnsi"/>
          <w:color w:val="232323"/>
          <w:sz w:val="22"/>
          <w:szCs w:val="22"/>
        </w:rPr>
        <w:t>γκο-στόχο, με ταυτόχρονη ελαχιστοποίηση της δόσης που λαμβά</w:t>
      </w:r>
      <w:r w:rsidR="004D0440" w:rsidRPr="00D32416">
        <w:rPr>
          <w:rFonts w:asciiTheme="minorHAnsi" w:hAnsiTheme="minorHAnsi" w:cstheme="minorHAnsi"/>
          <w:color w:val="232323"/>
          <w:sz w:val="22"/>
          <w:szCs w:val="22"/>
        </w:rPr>
        <w:t>νουν οι γειτονικοί υγιείς ιστοί</w:t>
      </w:r>
      <w:r w:rsidRPr="00D32416">
        <w:rPr>
          <w:rFonts w:asciiTheme="minorHAnsi" w:hAnsiTheme="minorHAnsi" w:cstheme="minorHAnsi"/>
          <w:color w:val="232323"/>
          <w:sz w:val="22"/>
          <w:szCs w:val="22"/>
        </w:rPr>
        <w:t xml:space="preserve">. </w:t>
      </w:r>
      <w:r w:rsidR="004D0440" w:rsidRPr="00D32416">
        <w:rPr>
          <w:rFonts w:asciiTheme="minorHAnsi" w:hAnsiTheme="minorHAnsi" w:cstheme="minorHAnsi"/>
          <w:color w:val="232323"/>
          <w:sz w:val="22"/>
          <w:szCs w:val="22"/>
        </w:rPr>
        <w:t xml:space="preserve">Κατά αυτόν τον τρόπο </w:t>
      </w:r>
      <w:r w:rsidR="006739CF" w:rsidRPr="00D32416">
        <w:rPr>
          <w:rFonts w:asciiTheme="minorHAnsi" w:hAnsiTheme="minorHAnsi" w:cstheme="minorHAnsi"/>
          <w:color w:val="232323"/>
          <w:sz w:val="22"/>
          <w:szCs w:val="22"/>
        </w:rPr>
        <w:t xml:space="preserve">αυξάνεται ο τοπικο-περιοχικός έλεγχος της νόσου, </w:t>
      </w:r>
      <w:r w:rsidR="004D0440" w:rsidRPr="00D32416">
        <w:rPr>
          <w:rFonts w:asciiTheme="minorHAnsi" w:hAnsiTheme="minorHAnsi" w:cstheme="minorHAnsi"/>
          <w:color w:val="232323"/>
          <w:sz w:val="22"/>
          <w:szCs w:val="22"/>
        </w:rPr>
        <w:t>μειώνεται η τοξικότητα</w:t>
      </w:r>
      <w:r w:rsidR="006739CF" w:rsidRPr="00D32416">
        <w:rPr>
          <w:rFonts w:asciiTheme="minorHAnsi" w:hAnsiTheme="minorHAnsi" w:cstheme="minorHAnsi"/>
          <w:color w:val="232323"/>
          <w:sz w:val="22"/>
          <w:szCs w:val="22"/>
        </w:rPr>
        <w:t xml:space="preserve"> -</w:t>
      </w:r>
      <w:r w:rsidR="004D0440" w:rsidRPr="00D32416">
        <w:rPr>
          <w:rFonts w:asciiTheme="minorHAnsi" w:hAnsiTheme="minorHAnsi" w:cstheme="minorHAnsi"/>
          <w:color w:val="232323"/>
          <w:sz w:val="22"/>
          <w:szCs w:val="22"/>
        </w:rPr>
        <w:t>απώτερες παρενέργειες και βελτιώνεται η ποιότητα ζωής των ασθενών</w:t>
      </w:r>
      <w:r w:rsidRPr="00D32416">
        <w:rPr>
          <w:rFonts w:asciiTheme="minorHAnsi" w:hAnsiTheme="minorHAnsi" w:cstheme="minorHAnsi"/>
          <w:color w:val="232323"/>
          <w:sz w:val="22"/>
          <w:szCs w:val="22"/>
        </w:rPr>
        <w:t xml:space="preserve"> </w:t>
      </w:r>
      <w:r w:rsidR="00C6445B" w:rsidRPr="00D32416">
        <w:rPr>
          <w:rFonts w:asciiTheme="minorHAnsi" w:hAnsiTheme="minorHAnsi" w:cstheme="minorHAnsi"/>
          <w:color w:val="232323"/>
          <w:sz w:val="22"/>
          <w:szCs w:val="22"/>
        </w:rPr>
        <w:t>[17</w:t>
      </w:r>
      <w:r w:rsidRPr="00D32416">
        <w:rPr>
          <w:rFonts w:asciiTheme="minorHAnsi" w:hAnsiTheme="minorHAnsi" w:cstheme="minorHAnsi"/>
          <w:color w:val="232323"/>
          <w:sz w:val="22"/>
          <w:szCs w:val="22"/>
        </w:rPr>
        <w:t>].</w:t>
      </w:r>
    </w:p>
    <w:p w14:paraId="1D78D12F" w14:textId="77777777" w:rsidR="00057E7D" w:rsidRPr="00EF2861" w:rsidRDefault="00EC5251" w:rsidP="00D32416">
      <w:pPr>
        <w:pStyle w:val="headinganchor"/>
        <w:shd w:val="clear" w:color="auto" w:fill="FFFFFF"/>
        <w:spacing w:after="0" w:line="360" w:lineRule="auto"/>
        <w:rPr>
          <w:rFonts w:asciiTheme="minorHAnsi" w:hAnsiTheme="minorHAnsi" w:cstheme="minorHAnsi"/>
          <w:i/>
          <w:color w:val="232323"/>
          <w:sz w:val="22"/>
          <w:szCs w:val="22"/>
        </w:rPr>
      </w:pPr>
      <w:r w:rsidRPr="00D32416">
        <w:rPr>
          <w:rFonts w:asciiTheme="minorHAnsi" w:hAnsiTheme="minorHAnsi" w:cstheme="minorHAnsi"/>
          <w:i/>
          <w:color w:val="232323"/>
          <w:sz w:val="22"/>
          <w:szCs w:val="22"/>
        </w:rPr>
        <w:t>Α) Τρισδιάστατη σύμμορφη ακτινοθεραπεία (</w:t>
      </w:r>
      <w:r w:rsidR="00057E7D" w:rsidRPr="00D32416">
        <w:rPr>
          <w:rFonts w:asciiTheme="minorHAnsi" w:hAnsiTheme="minorHAnsi" w:cstheme="minorHAnsi"/>
          <w:i/>
          <w:color w:val="232323"/>
          <w:sz w:val="22"/>
          <w:szCs w:val="22"/>
          <w:lang w:val="en-US"/>
        </w:rPr>
        <w:t>Three</w:t>
      </w:r>
      <w:r w:rsidR="00057E7D" w:rsidRPr="00D32416">
        <w:rPr>
          <w:rFonts w:asciiTheme="minorHAnsi" w:hAnsiTheme="minorHAnsi" w:cstheme="minorHAnsi"/>
          <w:i/>
          <w:color w:val="232323"/>
          <w:sz w:val="22"/>
          <w:szCs w:val="22"/>
        </w:rPr>
        <w:t>-</w:t>
      </w:r>
      <w:r w:rsidR="00057E7D" w:rsidRPr="00D32416">
        <w:rPr>
          <w:rFonts w:asciiTheme="minorHAnsi" w:hAnsiTheme="minorHAnsi" w:cstheme="minorHAnsi"/>
          <w:i/>
          <w:color w:val="232323"/>
          <w:sz w:val="22"/>
          <w:szCs w:val="22"/>
          <w:lang w:val="en-US"/>
        </w:rPr>
        <w:t>dimension</w:t>
      </w:r>
      <w:r w:rsidRPr="00D32416">
        <w:rPr>
          <w:rFonts w:asciiTheme="minorHAnsi" w:hAnsiTheme="minorHAnsi" w:cstheme="minorHAnsi"/>
          <w:i/>
          <w:color w:val="232323"/>
          <w:sz w:val="22"/>
          <w:szCs w:val="22"/>
          <w:lang w:val="en-US"/>
        </w:rPr>
        <w:t>al</w:t>
      </w:r>
      <w:r w:rsidRPr="00D32416">
        <w:rPr>
          <w:rFonts w:asciiTheme="minorHAnsi" w:hAnsiTheme="minorHAnsi" w:cstheme="minorHAnsi"/>
          <w:i/>
          <w:color w:val="232323"/>
          <w:sz w:val="22"/>
          <w:szCs w:val="22"/>
        </w:rPr>
        <w:t xml:space="preserve"> </w:t>
      </w:r>
      <w:r w:rsidRPr="00D32416">
        <w:rPr>
          <w:rFonts w:asciiTheme="minorHAnsi" w:hAnsiTheme="minorHAnsi" w:cstheme="minorHAnsi"/>
          <w:i/>
          <w:color w:val="232323"/>
          <w:sz w:val="22"/>
          <w:szCs w:val="22"/>
          <w:lang w:val="en-US"/>
        </w:rPr>
        <w:t>conformal</w:t>
      </w:r>
      <w:r w:rsidRPr="00D32416">
        <w:rPr>
          <w:rFonts w:asciiTheme="minorHAnsi" w:hAnsiTheme="minorHAnsi" w:cstheme="minorHAnsi"/>
          <w:i/>
          <w:color w:val="232323"/>
          <w:sz w:val="22"/>
          <w:szCs w:val="22"/>
        </w:rPr>
        <w:t xml:space="preserve"> </w:t>
      </w:r>
      <w:r w:rsidRPr="00D32416">
        <w:rPr>
          <w:rFonts w:asciiTheme="minorHAnsi" w:hAnsiTheme="minorHAnsi" w:cstheme="minorHAnsi"/>
          <w:i/>
          <w:color w:val="232323"/>
          <w:sz w:val="22"/>
          <w:szCs w:val="22"/>
          <w:lang w:val="en-US"/>
        </w:rPr>
        <w:t>radiation</w:t>
      </w:r>
      <w:r w:rsidRPr="00D32416">
        <w:rPr>
          <w:rFonts w:asciiTheme="minorHAnsi" w:hAnsiTheme="minorHAnsi" w:cstheme="minorHAnsi"/>
          <w:i/>
          <w:color w:val="232323"/>
          <w:sz w:val="22"/>
          <w:szCs w:val="22"/>
        </w:rPr>
        <w:t xml:space="preserve"> </w:t>
      </w:r>
      <w:r w:rsidRPr="00D32416">
        <w:rPr>
          <w:rFonts w:asciiTheme="minorHAnsi" w:hAnsiTheme="minorHAnsi" w:cstheme="minorHAnsi"/>
          <w:i/>
          <w:color w:val="232323"/>
          <w:sz w:val="22"/>
          <w:szCs w:val="22"/>
          <w:lang w:val="en-US"/>
        </w:rPr>
        <w:t>therapy</w:t>
      </w:r>
      <w:r w:rsidRPr="00D32416">
        <w:rPr>
          <w:rFonts w:asciiTheme="minorHAnsi" w:hAnsiTheme="minorHAnsi" w:cstheme="minorHAnsi"/>
          <w:i/>
          <w:color w:val="232323"/>
          <w:sz w:val="22"/>
          <w:szCs w:val="22"/>
        </w:rPr>
        <w:t xml:space="preserve"> - </w:t>
      </w:r>
      <w:r w:rsidR="00057E7D" w:rsidRPr="00D32416">
        <w:rPr>
          <w:rFonts w:asciiTheme="minorHAnsi" w:hAnsiTheme="minorHAnsi" w:cstheme="minorHAnsi"/>
          <w:i/>
          <w:color w:val="232323"/>
          <w:sz w:val="22"/>
          <w:szCs w:val="22"/>
        </w:rPr>
        <w:t>3</w:t>
      </w:r>
      <w:r w:rsidR="00057E7D" w:rsidRPr="00D32416">
        <w:rPr>
          <w:rFonts w:asciiTheme="minorHAnsi" w:hAnsiTheme="minorHAnsi" w:cstheme="minorHAnsi"/>
          <w:i/>
          <w:color w:val="232323"/>
          <w:sz w:val="22"/>
          <w:szCs w:val="22"/>
          <w:lang w:val="en-US"/>
        </w:rPr>
        <w:t>D</w:t>
      </w:r>
      <w:r w:rsidR="00057E7D" w:rsidRPr="00D32416">
        <w:rPr>
          <w:rFonts w:asciiTheme="minorHAnsi" w:hAnsiTheme="minorHAnsi" w:cstheme="minorHAnsi"/>
          <w:i/>
          <w:color w:val="232323"/>
          <w:sz w:val="22"/>
          <w:szCs w:val="22"/>
        </w:rPr>
        <w:t>-</w:t>
      </w:r>
      <w:r w:rsidR="00057E7D" w:rsidRPr="00D32416">
        <w:rPr>
          <w:rFonts w:asciiTheme="minorHAnsi" w:hAnsiTheme="minorHAnsi" w:cstheme="minorHAnsi"/>
          <w:i/>
          <w:color w:val="232323"/>
          <w:sz w:val="22"/>
          <w:szCs w:val="22"/>
          <w:lang w:val="en-US"/>
        </w:rPr>
        <w:t>CRT</w:t>
      </w:r>
      <w:r w:rsidR="00057E7D" w:rsidRPr="00D32416">
        <w:rPr>
          <w:rFonts w:asciiTheme="minorHAnsi" w:hAnsiTheme="minorHAnsi" w:cstheme="minorHAnsi"/>
          <w:i/>
          <w:color w:val="232323"/>
          <w:sz w:val="22"/>
          <w:szCs w:val="22"/>
        </w:rPr>
        <w:t>)</w:t>
      </w:r>
      <w:r w:rsidR="000209A8" w:rsidRPr="00D32416">
        <w:rPr>
          <w:rFonts w:asciiTheme="minorHAnsi" w:hAnsiTheme="minorHAnsi" w:cstheme="minorHAnsi"/>
          <w:i/>
          <w:color w:val="232323"/>
          <w:sz w:val="22"/>
          <w:szCs w:val="22"/>
        </w:rPr>
        <w:t>:</w:t>
      </w:r>
      <w:r w:rsidR="00057E7D" w:rsidRPr="00D32416">
        <w:rPr>
          <w:rFonts w:asciiTheme="minorHAnsi" w:hAnsiTheme="minorHAnsi" w:cstheme="minorHAnsi"/>
          <w:i/>
          <w:color w:val="232323"/>
          <w:sz w:val="22"/>
          <w:szCs w:val="22"/>
        </w:rPr>
        <w:t xml:space="preserve"> </w:t>
      </w:r>
      <w:r w:rsidR="000209A8" w:rsidRPr="00D32416">
        <w:rPr>
          <w:rFonts w:asciiTheme="minorHAnsi" w:hAnsiTheme="minorHAnsi" w:cstheme="minorHAnsi"/>
          <w:i/>
          <w:color w:val="232323"/>
          <w:sz w:val="22"/>
          <w:szCs w:val="22"/>
        </w:rPr>
        <w:t xml:space="preserve"> </w:t>
      </w:r>
      <w:r w:rsidRPr="00D32416">
        <w:rPr>
          <w:rFonts w:asciiTheme="minorHAnsi" w:hAnsiTheme="minorHAnsi" w:cstheme="minorHAnsi"/>
          <w:color w:val="232323"/>
          <w:sz w:val="22"/>
          <w:szCs w:val="22"/>
        </w:rPr>
        <w:t xml:space="preserve">Χορήγηση της δόσης σε έναν καθορισμένο τρισδιάστατο όγκο, χρησιμοποιώντας απεικονιστικές μεθόδους και </w:t>
      </w:r>
      <w:r w:rsidR="00057E7D" w:rsidRPr="00D32416">
        <w:rPr>
          <w:rFonts w:asciiTheme="minorHAnsi" w:hAnsiTheme="minorHAnsi" w:cstheme="minorHAnsi"/>
          <w:color w:val="232323"/>
          <w:sz w:val="22"/>
          <w:szCs w:val="22"/>
          <w:lang w:val="en-US"/>
        </w:rPr>
        <w:t>software</w:t>
      </w:r>
      <w:r w:rsidRPr="00D32416">
        <w:rPr>
          <w:rFonts w:asciiTheme="minorHAnsi" w:hAnsiTheme="minorHAnsi" w:cstheme="minorHAnsi"/>
          <w:color w:val="232323"/>
          <w:sz w:val="22"/>
          <w:szCs w:val="22"/>
        </w:rPr>
        <w:t xml:space="preserve"> υπολογιστή, προκειμένου να καθορισθεί ο στόχος και η κατανομή της </w:t>
      </w:r>
      <w:r w:rsidR="00057E7D"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δόσης στον προστατικό αδένα και τους γύρω ιστούς</w:t>
      </w:r>
      <w:r w:rsidR="00057E7D"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Τα συμβατικά σχήματα της ακτινοθεραπείας</w:t>
      </w:r>
      <w:r w:rsidR="00AF7011" w:rsidRPr="00D32416">
        <w:rPr>
          <w:rFonts w:asciiTheme="minorHAnsi" w:hAnsiTheme="minorHAnsi" w:cstheme="minorHAnsi"/>
          <w:color w:val="232323"/>
          <w:sz w:val="22"/>
          <w:szCs w:val="22"/>
        </w:rPr>
        <w:t xml:space="preserve"> χρησιμοποιούν δόσεις </w:t>
      </w:r>
      <w:r w:rsidR="00057E7D" w:rsidRPr="00D32416">
        <w:rPr>
          <w:rFonts w:asciiTheme="minorHAnsi" w:hAnsiTheme="minorHAnsi" w:cstheme="minorHAnsi"/>
          <w:color w:val="232323"/>
          <w:sz w:val="22"/>
          <w:szCs w:val="22"/>
        </w:rPr>
        <w:t xml:space="preserve">1.8 </w:t>
      </w:r>
      <w:r w:rsidR="00AF7011"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rPr>
        <w:t xml:space="preserve"> 2 </w:t>
      </w:r>
      <w:r w:rsidR="00057E7D" w:rsidRPr="00D32416">
        <w:rPr>
          <w:rFonts w:asciiTheme="minorHAnsi" w:hAnsiTheme="minorHAnsi" w:cstheme="minorHAnsi"/>
          <w:color w:val="232323"/>
          <w:sz w:val="22"/>
          <w:szCs w:val="22"/>
          <w:lang w:val="en-US"/>
        </w:rPr>
        <w:t>Gy</w:t>
      </w:r>
      <w:r w:rsidR="00057E7D" w:rsidRPr="00D32416">
        <w:rPr>
          <w:rFonts w:asciiTheme="minorHAnsi" w:hAnsiTheme="minorHAnsi" w:cstheme="minorHAnsi"/>
          <w:color w:val="232323"/>
          <w:sz w:val="22"/>
          <w:szCs w:val="22"/>
        </w:rPr>
        <w:t xml:space="preserve"> </w:t>
      </w:r>
      <w:r w:rsidR="00AF7011" w:rsidRPr="00D32416">
        <w:rPr>
          <w:rFonts w:asciiTheme="minorHAnsi" w:hAnsiTheme="minorHAnsi" w:cstheme="minorHAnsi"/>
          <w:color w:val="232323"/>
          <w:sz w:val="22"/>
          <w:szCs w:val="22"/>
        </w:rPr>
        <w:t xml:space="preserve">σε </w:t>
      </w:r>
      <w:r w:rsidR="00057E7D" w:rsidRPr="00D32416">
        <w:rPr>
          <w:rFonts w:asciiTheme="minorHAnsi" w:hAnsiTheme="minorHAnsi" w:cstheme="minorHAnsi"/>
          <w:color w:val="232323"/>
          <w:sz w:val="22"/>
          <w:szCs w:val="22"/>
        </w:rPr>
        <w:t xml:space="preserve">38 </w:t>
      </w:r>
      <w:r w:rsidR="00AF7011"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rPr>
        <w:t xml:space="preserve">45 </w:t>
      </w:r>
      <w:r w:rsidR="00AF7011" w:rsidRPr="00D32416">
        <w:rPr>
          <w:rFonts w:asciiTheme="minorHAnsi" w:hAnsiTheme="minorHAnsi" w:cstheme="minorHAnsi"/>
          <w:color w:val="232323"/>
          <w:sz w:val="22"/>
          <w:szCs w:val="22"/>
        </w:rPr>
        <w:t xml:space="preserve">συνεδρίες </w:t>
      </w:r>
      <w:r w:rsidR="00057E7D" w:rsidRPr="00D32416">
        <w:rPr>
          <w:rFonts w:asciiTheme="minorHAnsi" w:hAnsiTheme="minorHAnsi" w:cstheme="minorHAnsi"/>
          <w:color w:val="232323"/>
          <w:sz w:val="22"/>
          <w:szCs w:val="22"/>
        </w:rPr>
        <w:t>(</w:t>
      </w:r>
      <w:r w:rsidR="00AF7011" w:rsidRPr="00D32416">
        <w:rPr>
          <w:rFonts w:asciiTheme="minorHAnsi" w:hAnsiTheme="minorHAnsi" w:cstheme="minorHAnsi"/>
          <w:color w:val="232323"/>
          <w:sz w:val="22"/>
          <w:szCs w:val="22"/>
        </w:rPr>
        <w:t>συνολική δόση</w:t>
      </w:r>
      <w:r w:rsidR="00057E7D" w:rsidRPr="00D32416">
        <w:rPr>
          <w:rFonts w:asciiTheme="minorHAnsi" w:hAnsiTheme="minorHAnsi" w:cstheme="minorHAnsi"/>
          <w:color w:val="232323"/>
          <w:sz w:val="22"/>
          <w:szCs w:val="22"/>
        </w:rPr>
        <w:t xml:space="preserve"> ≥76 </w:t>
      </w:r>
      <w:r w:rsidR="00057E7D" w:rsidRPr="00D32416">
        <w:rPr>
          <w:rFonts w:asciiTheme="minorHAnsi" w:hAnsiTheme="minorHAnsi" w:cstheme="minorHAnsi"/>
          <w:color w:val="232323"/>
          <w:sz w:val="22"/>
          <w:szCs w:val="22"/>
          <w:lang w:val="en-US"/>
        </w:rPr>
        <w:t>Gy</w:t>
      </w:r>
      <w:r w:rsidR="00057E7D" w:rsidRPr="00D32416">
        <w:rPr>
          <w:rFonts w:asciiTheme="minorHAnsi" w:hAnsiTheme="minorHAnsi" w:cstheme="minorHAnsi"/>
          <w:color w:val="232323"/>
          <w:sz w:val="22"/>
          <w:szCs w:val="22"/>
        </w:rPr>
        <w:t>).</w:t>
      </w:r>
    </w:p>
    <w:p w14:paraId="3EFDBCDC" w14:textId="77777777" w:rsidR="0087600A" w:rsidRPr="00D32416" w:rsidRDefault="00AF7011" w:rsidP="00D32416">
      <w:pPr>
        <w:pStyle w:val="headinganchor"/>
        <w:shd w:val="clear" w:color="auto" w:fill="FFFFFF"/>
        <w:spacing w:after="0" w:line="360" w:lineRule="auto"/>
        <w:rPr>
          <w:rFonts w:asciiTheme="minorHAnsi" w:hAnsiTheme="minorHAnsi" w:cstheme="minorHAnsi"/>
          <w:i/>
          <w:color w:val="232323"/>
          <w:sz w:val="22"/>
          <w:szCs w:val="22"/>
        </w:rPr>
      </w:pPr>
      <w:r w:rsidRPr="00D32416">
        <w:rPr>
          <w:rFonts w:asciiTheme="minorHAnsi" w:hAnsiTheme="minorHAnsi" w:cstheme="minorHAnsi"/>
          <w:i/>
          <w:color w:val="232323"/>
          <w:sz w:val="22"/>
          <w:szCs w:val="22"/>
        </w:rPr>
        <w:t>Β) Διαμορφούμενης έντασης ακτινοθεραπεία (</w:t>
      </w:r>
      <w:r w:rsidR="00057E7D" w:rsidRPr="00D32416">
        <w:rPr>
          <w:rFonts w:asciiTheme="minorHAnsi" w:hAnsiTheme="minorHAnsi" w:cstheme="minorHAnsi"/>
          <w:i/>
          <w:color w:val="232323"/>
          <w:sz w:val="22"/>
          <w:szCs w:val="22"/>
          <w:lang w:val="en-US"/>
        </w:rPr>
        <w:t>Intensity</w:t>
      </w:r>
      <w:r w:rsidR="00057E7D" w:rsidRPr="00D32416">
        <w:rPr>
          <w:rFonts w:asciiTheme="minorHAnsi" w:hAnsiTheme="minorHAnsi" w:cstheme="minorHAnsi"/>
          <w:i/>
          <w:color w:val="232323"/>
          <w:sz w:val="22"/>
          <w:szCs w:val="22"/>
        </w:rPr>
        <w:t>-</w:t>
      </w:r>
      <w:r w:rsidR="00057E7D" w:rsidRPr="00D32416">
        <w:rPr>
          <w:rFonts w:asciiTheme="minorHAnsi" w:hAnsiTheme="minorHAnsi" w:cstheme="minorHAnsi"/>
          <w:i/>
          <w:color w:val="232323"/>
          <w:sz w:val="22"/>
          <w:szCs w:val="22"/>
          <w:lang w:val="en-US"/>
        </w:rPr>
        <w:t>m</w:t>
      </w:r>
      <w:r w:rsidRPr="00D32416">
        <w:rPr>
          <w:rFonts w:asciiTheme="minorHAnsi" w:hAnsiTheme="minorHAnsi" w:cstheme="minorHAnsi"/>
          <w:i/>
          <w:color w:val="232323"/>
          <w:sz w:val="22"/>
          <w:szCs w:val="22"/>
          <w:lang w:val="en-US"/>
        </w:rPr>
        <w:t>odulated</w:t>
      </w:r>
      <w:r w:rsidRPr="00D32416">
        <w:rPr>
          <w:rFonts w:asciiTheme="minorHAnsi" w:hAnsiTheme="minorHAnsi" w:cstheme="minorHAnsi"/>
          <w:i/>
          <w:color w:val="232323"/>
          <w:sz w:val="22"/>
          <w:szCs w:val="22"/>
        </w:rPr>
        <w:t xml:space="preserve"> </w:t>
      </w:r>
      <w:r w:rsidRPr="00D32416">
        <w:rPr>
          <w:rFonts w:asciiTheme="minorHAnsi" w:hAnsiTheme="minorHAnsi" w:cstheme="minorHAnsi"/>
          <w:i/>
          <w:color w:val="232323"/>
          <w:sz w:val="22"/>
          <w:szCs w:val="22"/>
          <w:lang w:val="en-US"/>
        </w:rPr>
        <w:t>radiation</w:t>
      </w:r>
      <w:r w:rsidRPr="00D32416">
        <w:rPr>
          <w:rFonts w:asciiTheme="minorHAnsi" w:hAnsiTheme="minorHAnsi" w:cstheme="minorHAnsi"/>
          <w:i/>
          <w:color w:val="232323"/>
          <w:sz w:val="22"/>
          <w:szCs w:val="22"/>
        </w:rPr>
        <w:t xml:space="preserve"> </w:t>
      </w:r>
      <w:r w:rsidRPr="00D32416">
        <w:rPr>
          <w:rFonts w:asciiTheme="minorHAnsi" w:hAnsiTheme="minorHAnsi" w:cstheme="minorHAnsi"/>
          <w:i/>
          <w:color w:val="232323"/>
          <w:sz w:val="22"/>
          <w:szCs w:val="22"/>
          <w:lang w:val="en-US"/>
        </w:rPr>
        <w:t>therapy</w:t>
      </w:r>
      <w:r w:rsidRPr="00D32416">
        <w:rPr>
          <w:rFonts w:asciiTheme="minorHAnsi" w:hAnsiTheme="minorHAnsi" w:cstheme="minorHAnsi"/>
          <w:i/>
          <w:color w:val="232323"/>
          <w:sz w:val="22"/>
          <w:szCs w:val="22"/>
        </w:rPr>
        <w:t xml:space="preserve"> — </w:t>
      </w:r>
      <w:r w:rsidR="00057E7D" w:rsidRPr="00D32416">
        <w:rPr>
          <w:rFonts w:asciiTheme="minorHAnsi" w:hAnsiTheme="minorHAnsi" w:cstheme="minorHAnsi"/>
          <w:i/>
          <w:color w:val="232323"/>
          <w:sz w:val="22"/>
          <w:szCs w:val="22"/>
          <w:lang w:val="en-US"/>
        </w:rPr>
        <w:t>IMRT</w:t>
      </w:r>
      <w:r w:rsidRPr="00D32416">
        <w:rPr>
          <w:rFonts w:asciiTheme="minorHAnsi" w:hAnsiTheme="minorHAnsi" w:cstheme="minorHAnsi"/>
          <w:i/>
          <w:color w:val="232323"/>
          <w:sz w:val="22"/>
          <w:szCs w:val="22"/>
        </w:rPr>
        <w:t>)</w:t>
      </w:r>
      <w:r w:rsidR="000209A8" w:rsidRPr="00D32416">
        <w:rPr>
          <w:rFonts w:asciiTheme="minorHAnsi" w:hAnsiTheme="minorHAnsi" w:cstheme="minorHAnsi"/>
          <w:i/>
          <w:color w:val="232323"/>
          <w:sz w:val="22"/>
          <w:szCs w:val="22"/>
        </w:rPr>
        <w:t xml:space="preserve">: </w:t>
      </w:r>
      <w:r w:rsidRPr="00D32416">
        <w:rPr>
          <w:rFonts w:asciiTheme="minorHAnsi" w:hAnsiTheme="minorHAnsi" w:cstheme="minorHAnsi"/>
          <w:color w:val="232323"/>
          <w:sz w:val="22"/>
          <w:szCs w:val="22"/>
        </w:rPr>
        <w:t xml:space="preserve">Η </w:t>
      </w:r>
      <w:r w:rsidR="00057E7D" w:rsidRPr="00D32416">
        <w:rPr>
          <w:rFonts w:asciiTheme="minorHAnsi" w:hAnsiTheme="minorHAnsi" w:cstheme="minorHAnsi"/>
          <w:color w:val="232323"/>
          <w:sz w:val="22"/>
          <w:szCs w:val="22"/>
          <w:lang w:val="en-US"/>
        </w:rPr>
        <w:t>IMRT</w:t>
      </w:r>
      <w:r w:rsidR="00057E7D"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αποτελεί μια εξελιγμένη μορφή της</w:t>
      </w:r>
      <w:r w:rsidR="00057E7D" w:rsidRPr="00D32416">
        <w:rPr>
          <w:rFonts w:asciiTheme="minorHAnsi" w:hAnsiTheme="minorHAnsi" w:cstheme="minorHAnsi"/>
          <w:color w:val="232323"/>
          <w:sz w:val="22"/>
          <w:szCs w:val="22"/>
        </w:rPr>
        <w:t xml:space="preserve"> 3</w:t>
      </w:r>
      <w:r w:rsidR="00057E7D" w:rsidRPr="00D32416">
        <w:rPr>
          <w:rFonts w:asciiTheme="minorHAnsi" w:hAnsiTheme="minorHAnsi" w:cstheme="minorHAnsi"/>
          <w:color w:val="232323"/>
          <w:sz w:val="22"/>
          <w:szCs w:val="22"/>
          <w:lang w:val="en-US"/>
        </w:rPr>
        <w:t>D</w:t>
      </w:r>
      <w:r w:rsidR="00057E7D"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lang w:val="en-US"/>
        </w:rPr>
        <w:t>CRT</w:t>
      </w:r>
      <w:r w:rsidR="00057E7D"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τεχνικής, η οποία μπορεί να δημιουργήσει μια κατανομή δόσης, γύρω από ένα πολύπλοκο όγ</w:t>
      </w:r>
      <w:r w:rsidR="008C584A" w:rsidRPr="00D32416">
        <w:rPr>
          <w:rFonts w:asciiTheme="minorHAnsi" w:hAnsiTheme="minorHAnsi" w:cstheme="minorHAnsi"/>
          <w:color w:val="232323"/>
          <w:sz w:val="22"/>
          <w:szCs w:val="22"/>
        </w:rPr>
        <w:t>κο στόχο</w:t>
      </w:r>
      <w:r w:rsidR="00057E7D" w:rsidRPr="00D32416">
        <w:rPr>
          <w:rFonts w:asciiTheme="minorHAnsi" w:hAnsiTheme="minorHAnsi" w:cstheme="minorHAnsi"/>
          <w:color w:val="232323"/>
          <w:sz w:val="22"/>
          <w:szCs w:val="22"/>
        </w:rPr>
        <w:t xml:space="preserve">[18]. </w:t>
      </w:r>
      <w:r w:rsidR="008C584A" w:rsidRPr="00D32416">
        <w:rPr>
          <w:rFonts w:asciiTheme="minorHAnsi" w:hAnsiTheme="minorHAnsi" w:cstheme="minorHAnsi"/>
          <w:color w:val="232323"/>
          <w:sz w:val="22"/>
          <w:szCs w:val="22"/>
        </w:rPr>
        <w:t xml:space="preserve">Σε αντίθεση με τη </w:t>
      </w:r>
      <w:r w:rsidR="00057E7D" w:rsidRPr="00D32416">
        <w:rPr>
          <w:rFonts w:asciiTheme="minorHAnsi" w:hAnsiTheme="minorHAnsi" w:cstheme="minorHAnsi"/>
          <w:color w:val="232323"/>
          <w:sz w:val="22"/>
          <w:szCs w:val="22"/>
        </w:rPr>
        <w:t>3</w:t>
      </w:r>
      <w:r w:rsidR="00057E7D" w:rsidRPr="00D32416">
        <w:rPr>
          <w:rFonts w:asciiTheme="minorHAnsi" w:hAnsiTheme="minorHAnsi" w:cstheme="minorHAnsi"/>
          <w:color w:val="232323"/>
          <w:sz w:val="22"/>
          <w:szCs w:val="22"/>
          <w:lang w:val="en-US"/>
        </w:rPr>
        <w:t>D</w:t>
      </w:r>
      <w:r w:rsidR="00057E7D"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lang w:val="en-US"/>
        </w:rPr>
        <w:t>CRT</w:t>
      </w:r>
      <w:r w:rsidR="00057E7D" w:rsidRPr="00D32416">
        <w:rPr>
          <w:rFonts w:asciiTheme="minorHAnsi" w:hAnsiTheme="minorHAnsi" w:cstheme="minorHAnsi"/>
          <w:color w:val="232323"/>
          <w:sz w:val="22"/>
          <w:szCs w:val="22"/>
        </w:rPr>
        <w:t xml:space="preserve">, </w:t>
      </w:r>
      <w:r w:rsidR="008C584A" w:rsidRPr="00D32416">
        <w:rPr>
          <w:rFonts w:asciiTheme="minorHAnsi" w:hAnsiTheme="minorHAnsi" w:cstheme="minorHAnsi"/>
          <w:color w:val="232323"/>
          <w:sz w:val="22"/>
          <w:szCs w:val="22"/>
        </w:rPr>
        <w:t>όπου μια ομοιόμορφη ένταση χορηγείται σε κάθε πεδίο</w:t>
      </w:r>
      <w:r w:rsidR="00057E7D" w:rsidRPr="00D32416">
        <w:rPr>
          <w:rFonts w:asciiTheme="minorHAnsi" w:hAnsiTheme="minorHAnsi" w:cstheme="minorHAnsi"/>
          <w:color w:val="232323"/>
          <w:sz w:val="22"/>
          <w:szCs w:val="22"/>
        </w:rPr>
        <w:t>,</w:t>
      </w:r>
      <w:r w:rsidR="008C584A" w:rsidRPr="00D32416">
        <w:rPr>
          <w:rFonts w:asciiTheme="minorHAnsi" w:hAnsiTheme="minorHAnsi" w:cstheme="minorHAnsi"/>
          <w:color w:val="232323"/>
          <w:sz w:val="22"/>
          <w:szCs w:val="22"/>
        </w:rPr>
        <w:t xml:space="preserve"> η</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IMRT</w:t>
      </w:r>
      <w:r w:rsidR="00057E7D" w:rsidRPr="00D32416">
        <w:rPr>
          <w:rFonts w:asciiTheme="minorHAnsi" w:hAnsiTheme="minorHAnsi" w:cstheme="minorHAnsi"/>
          <w:color w:val="232323"/>
          <w:sz w:val="22"/>
          <w:szCs w:val="22"/>
        </w:rPr>
        <w:t xml:space="preserve"> </w:t>
      </w:r>
      <w:r w:rsidR="008C584A" w:rsidRPr="00D32416">
        <w:rPr>
          <w:rFonts w:asciiTheme="minorHAnsi" w:hAnsiTheme="minorHAnsi" w:cstheme="minorHAnsi"/>
          <w:color w:val="232323"/>
          <w:sz w:val="22"/>
          <w:szCs w:val="22"/>
        </w:rPr>
        <w:t>χορηγε</w:t>
      </w:r>
      <w:r w:rsidR="005514F4">
        <w:rPr>
          <w:rFonts w:asciiTheme="minorHAnsi" w:hAnsiTheme="minorHAnsi" w:cstheme="minorHAnsi"/>
          <w:color w:val="232323"/>
          <w:sz w:val="22"/>
          <w:szCs w:val="22"/>
        </w:rPr>
        <w:t>ί μη ομοιόμορφες κατανομές δόσ</w:t>
      </w:r>
      <w:r w:rsidR="009460C3">
        <w:rPr>
          <w:rFonts w:asciiTheme="minorHAnsi" w:hAnsiTheme="minorHAnsi" w:cstheme="minorHAnsi"/>
          <w:color w:val="232323"/>
          <w:sz w:val="22"/>
          <w:szCs w:val="22"/>
        </w:rPr>
        <w:t>η</w:t>
      </w:r>
      <w:r w:rsidR="008C584A" w:rsidRPr="00D32416">
        <w:rPr>
          <w:rFonts w:asciiTheme="minorHAnsi" w:hAnsiTheme="minorHAnsi" w:cstheme="minorHAnsi"/>
          <w:color w:val="232323"/>
          <w:sz w:val="22"/>
          <w:szCs w:val="22"/>
        </w:rPr>
        <w:t>ς στον όγκο στόχο, τροποποιώντας την ένταση του κάθε υποπεδίου της δέσμης</w:t>
      </w:r>
      <w:r w:rsidR="00057E7D" w:rsidRPr="00D32416">
        <w:rPr>
          <w:rFonts w:asciiTheme="minorHAnsi" w:hAnsiTheme="minorHAnsi" w:cstheme="minorHAnsi"/>
          <w:b/>
          <w:color w:val="232323"/>
          <w:sz w:val="22"/>
          <w:szCs w:val="22"/>
        </w:rPr>
        <w:t xml:space="preserve"> </w:t>
      </w:r>
      <w:r w:rsidR="00057E7D" w:rsidRPr="00D32416">
        <w:rPr>
          <w:rFonts w:asciiTheme="minorHAnsi" w:hAnsiTheme="minorHAnsi" w:cstheme="minorHAnsi"/>
          <w:color w:val="232323"/>
          <w:sz w:val="22"/>
          <w:szCs w:val="22"/>
        </w:rPr>
        <w:t xml:space="preserve">[19]. </w:t>
      </w:r>
      <w:r w:rsidR="008C584A" w:rsidRPr="00D32416">
        <w:rPr>
          <w:rFonts w:asciiTheme="minorHAnsi" w:hAnsiTheme="minorHAnsi" w:cstheme="minorHAnsi"/>
          <w:color w:val="232323"/>
          <w:sz w:val="22"/>
          <w:szCs w:val="22"/>
        </w:rPr>
        <w:t xml:space="preserve">Η </w:t>
      </w:r>
      <w:r w:rsidR="00057E7D" w:rsidRPr="00D32416">
        <w:rPr>
          <w:rFonts w:asciiTheme="minorHAnsi" w:hAnsiTheme="minorHAnsi" w:cstheme="minorHAnsi"/>
          <w:color w:val="232323"/>
          <w:sz w:val="22"/>
          <w:szCs w:val="22"/>
          <w:lang w:val="en-US"/>
        </w:rPr>
        <w:t>IMRT</w:t>
      </w:r>
      <w:r w:rsidR="008C584A" w:rsidRPr="00D32416">
        <w:rPr>
          <w:rFonts w:asciiTheme="minorHAnsi" w:hAnsiTheme="minorHAnsi" w:cstheme="minorHAnsi"/>
          <w:color w:val="232323"/>
          <w:sz w:val="22"/>
          <w:szCs w:val="22"/>
        </w:rPr>
        <w:t xml:space="preserve"> επιτρέπει με μεγαλύτερη ασφάλεια την κλιμάκωση της δόσης, με ταυτόχρονη μείωση της προσλαμβανόμενης δόσης από τα γύρω όργανα, ιδιαίτερα το ορθό</w:t>
      </w:r>
      <w:r w:rsidR="00057E7D" w:rsidRPr="00D32416">
        <w:rPr>
          <w:rFonts w:asciiTheme="minorHAnsi" w:hAnsiTheme="minorHAnsi" w:cstheme="minorHAnsi"/>
          <w:color w:val="232323"/>
          <w:sz w:val="22"/>
          <w:szCs w:val="22"/>
        </w:rPr>
        <w:t>.</w:t>
      </w:r>
      <w:r w:rsidR="008C584A" w:rsidRPr="00D32416">
        <w:rPr>
          <w:rFonts w:asciiTheme="minorHAnsi" w:hAnsiTheme="minorHAnsi" w:cstheme="minorHAnsi"/>
          <w:color w:val="232323"/>
          <w:sz w:val="22"/>
          <w:szCs w:val="22"/>
        </w:rPr>
        <w:t xml:space="preserve"> Η Ι</w:t>
      </w:r>
      <w:r w:rsidR="008C584A" w:rsidRPr="00D32416">
        <w:rPr>
          <w:rFonts w:asciiTheme="minorHAnsi" w:hAnsiTheme="minorHAnsi" w:cstheme="minorHAnsi"/>
          <w:color w:val="232323"/>
          <w:sz w:val="22"/>
          <w:szCs w:val="22"/>
          <w:lang w:val="en-US"/>
        </w:rPr>
        <w:t>MRT</w:t>
      </w:r>
      <w:r w:rsidR="008C584A" w:rsidRPr="00D32416">
        <w:rPr>
          <w:rFonts w:asciiTheme="minorHAnsi" w:hAnsiTheme="minorHAnsi" w:cstheme="minorHAnsi"/>
          <w:color w:val="232323"/>
          <w:sz w:val="22"/>
          <w:szCs w:val="22"/>
        </w:rPr>
        <w:t xml:space="preserve"> θεωρείται </w:t>
      </w:r>
      <w:r w:rsidR="008C584A" w:rsidRPr="00D32416">
        <w:rPr>
          <w:rFonts w:asciiTheme="minorHAnsi" w:hAnsiTheme="minorHAnsi" w:cstheme="minorHAnsi"/>
          <w:color w:val="232323"/>
          <w:sz w:val="22"/>
          <w:szCs w:val="22"/>
          <w:lang w:val="en-US"/>
        </w:rPr>
        <w:t>standard</w:t>
      </w:r>
      <w:r w:rsidR="008C584A" w:rsidRPr="00D32416">
        <w:rPr>
          <w:rFonts w:asciiTheme="minorHAnsi" w:hAnsiTheme="minorHAnsi" w:cstheme="minorHAnsi"/>
          <w:color w:val="232323"/>
          <w:sz w:val="22"/>
          <w:szCs w:val="22"/>
        </w:rPr>
        <w:t xml:space="preserve"> </w:t>
      </w:r>
      <w:r w:rsidR="008C584A" w:rsidRPr="00D32416">
        <w:rPr>
          <w:rFonts w:asciiTheme="minorHAnsi" w:hAnsiTheme="minorHAnsi" w:cstheme="minorHAnsi"/>
          <w:color w:val="232323"/>
          <w:sz w:val="22"/>
          <w:szCs w:val="22"/>
          <w:lang w:val="en-US"/>
        </w:rPr>
        <w:t>of</w:t>
      </w:r>
      <w:r w:rsidR="008C584A" w:rsidRPr="00D32416">
        <w:rPr>
          <w:rFonts w:asciiTheme="minorHAnsi" w:hAnsiTheme="minorHAnsi" w:cstheme="minorHAnsi"/>
          <w:color w:val="232323"/>
          <w:sz w:val="22"/>
          <w:szCs w:val="22"/>
        </w:rPr>
        <w:t xml:space="preserve"> </w:t>
      </w:r>
      <w:r w:rsidR="008C584A" w:rsidRPr="00D32416">
        <w:rPr>
          <w:rFonts w:asciiTheme="minorHAnsi" w:hAnsiTheme="minorHAnsi" w:cstheme="minorHAnsi"/>
          <w:color w:val="232323"/>
          <w:sz w:val="22"/>
          <w:szCs w:val="22"/>
          <w:lang w:val="en-US"/>
        </w:rPr>
        <w:t>care</w:t>
      </w:r>
      <w:r w:rsidR="008C584A" w:rsidRPr="00D32416">
        <w:rPr>
          <w:rFonts w:asciiTheme="minorHAnsi" w:hAnsiTheme="minorHAnsi" w:cstheme="minorHAnsi"/>
          <w:color w:val="232323"/>
          <w:sz w:val="22"/>
          <w:szCs w:val="22"/>
        </w:rPr>
        <w:t xml:space="preserve"> τεχνική σε σύγκριση με τη</w:t>
      </w:r>
      <w:r w:rsidR="00057E7D" w:rsidRPr="00D32416">
        <w:rPr>
          <w:rFonts w:asciiTheme="minorHAnsi" w:hAnsiTheme="minorHAnsi" w:cstheme="minorHAnsi"/>
          <w:color w:val="232323"/>
          <w:sz w:val="22"/>
          <w:szCs w:val="22"/>
        </w:rPr>
        <w:t xml:space="preserve"> </w:t>
      </w:r>
      <w:r w:rsidR="008C584A" w:rsidRPr="00D32416">
        <w:rPr>
          <w:rFonts w:asciiTheme="minorHAnsi" w:hAnsiTheme="minorHAnsi" w:cstheme="minorHAnsi"/>
          <w:color w:val="232323"/>
          <w:sz w:val="22"/>
          <w:szCs w:val="22"/>
        </w:rPr>
        <w:t>3</w:t>
      </w:r>
      <w:r w:rsidR="008C584A" w:rsidRPr="00D32416">
        <w:rPr>
          <w:rFonts w:asciiTheme="minorHAnsi" w:hAnsiTheme="minorHAnsi" w:cstheme="minorHAnsi"/>
          <w:color w:val="232323"/>
          <w:sz w:val="22"/>
          <w:szCs w:val="22"/>
          <w:lang w:val="en-US"/>
        </w:rPr>
        <w:t>D</w:t>
      </w:r>
      <w:r w:rsidR="008C584A" w:rsidRPr="00D32416">
        <w:rPr>
          <w:rFonts w:asciiTheme="minorHAnsi" w:hAnsiTheme="minorHAnsi" w:cstheme="minorHAnsi"/>
          <w:color w:val="232323"/>
          <w:sz w:val="22"/>
          <w:szCs w:val="22"/>
        </w:rPr>
        <w:t>-</w:t>
      </w:r>
      <w:r w:rsidR="008C584A" w:rsidRPr="00D32416">
        <w:rPr>
          <w:rFonts w:asciiTheme="minorHAnsi" w:hAnsiTheme="minorHAnsi" w:cstheme="minorHAnsi"/>
          <w:color w:val="232323"/>
          <w:sz w:val="22"/>
          <w:szCs w:val="22"/>
          <w:lang w:val="en-US"/>
        </w:rPr>
        <w:t>CRT</w:t>
      </w:r>
      <w:r w:rsidR="008C584A"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rPr>
        <w:t>[20-22]</w:t>
      </w:r>
      <w:r w:rsidR="00892E74" w:rsidRPr="00D32416">
        <w:rPr>
          <w:rFonts w:asciiTheme="minorHAnsi" w:hAnsiTheme="minorHAnsi" w:cstheme="minorHAnsi"/>
          <w:color w:val="232323"/>
          <w:sz w:val="22"/>
          <w:szCs w:val="22"/>
        </w:rPr>
        <w:t xml:space="preserve"> </w:t>
      </w:r>
      <w:r w:rsidR="008C584A" w:rsidRPr="00D32416">
        <w:rPr>
          <w:rFonts w:asciiTheme="minorHAnsi" w:hAnsiTheme="minorHAnsi" w:cstheme="minorHAnsi"/>
          <w:color w:val="232323"/>
          <w:sz w:val="22"/>
          <w:szCs w:val="22"/>
        </w:rPr>
        <w:t>και συστήνεται σε περιπτώσεις καρκίνου του προστάτη που</w:t>
      </w:r>
      <w:r w:rsidR="00F043B1" w:rsidRPr="00D32416">
        <w:rPr>
          <w:rFonts w:asciiTheme="minorHAnsi" w:hAnsiTheme="minorHAnsi" w:cstheme="minorHAnsi"/>
          <w:color w:val="232323"/>
          <w:sz w:val="22"/>
          <w:szCs w:val="22"/>
        </w:rPr>
        <w:t xml:space="preserve"> θα λάβουν μέτρια ή υψηλά υποκλασματοποιημένη εξωτερική ακτινοθεραπεία</w:t>
      </w:r>
      <w:r w:rsidR="00057E7D" w:rsidRPr="00D32416">
        <w:rPr>
          <w:rFonts w:asciiTheme="minorHAnsi" w:hAnsiTheme="minorHAnsi" w:cstheme="minorHAnsi"/>
          <w:color w:val="232323"/>
          <w:sz w:val="22"/>
          <w:szCs w:val="22"/>
        </w:rPr>
        <w:t xml:space="preserve"> </w:t>
      </w:r>
      <w:r w:rsidR="00F043B1"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lang w:val="en-US"/>
        </w:rPr>
        <w:t>moderately</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hypofractionated</w:t>
      </w:r>
      <w:r w:rsidR="00057E7D" w:rsidRPr="00D32416">
        <w:rPr>
          <w:rFonts w:asciiTheme="minorHAnsi" w:hAnsiTheme="minorHAnsi" w:cstheme="minorHAnsi"/>
          <w:color w:val="232323"/>
          <w:sz w:val="22"/>
          <w:szCs w:val="22"/>
        </w:rPr>
        <w:t xml:space="preserve"> </w:t>
      </w:r>
      <w:r w:rsidR="00F043B1" w:rsidRPr="00D32416">
        <w:rPr>
          <w:rFonts w:asciiTheme="minorHAnsi" w:hAnsiTheme="minorHAnsi" w:cstheme="minorHAnsi"/>
          <w:color w:val="232323"/>
          <w:sz w:val="22"/>
          <w:szCs w:val="22"/>
        </w:rPr>
        <w:t>ή</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ultrahypofractionated</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external</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beam</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RT</w:t>
      </w:r>
      <w:r w:rsidR="00F043B1" w:rsidRPr="00D32416">
        <w:rPr>
          <w:rFonts w:asciiTheme="minorHAnsi" w:hAnsiTheme="minorHAnsi" w:cstheme="minorHAnsi"/>
          <w:color w:val="232323"/>
          <w:sz w:val="22"/>
          <w:szCs w:val="22"/>
        </w:rPr>
        <w:t>), βάση των οδηγιών των επιστημονικών Εταιρειών</w:t>
      </w:r>
      <w:r w:rsidR="00057E7D" w:rsidRPr="00D32416">
        <w:rPr>
          <w:rFonts w:asciiTheme="minorHAnsi" w:hAnsiTheme="minorHAnsi" w:cstheme="minorHAnsi"/>
          <w:color w:val="232323"/>
          <w:sz w:val="22"/>
          <w:szCs w:val="22"/>
        </w:rPr>
        <w:t xml:space="preserve"> </w:t>
      </w:r>
      <w:r w:rsidR="00F043B1" w:rsidRPr="00D32416">
        <w:rPr>
          <w:rFonts w:asciiTheme="minorHAnsi" w:hAnsiTheme="minorHAnsi" w:cstheme="minorHAnsi"/>
          <w:color w:val="232323"/>
          <w:sz w:val="22"/>
          <w:szCs w:val="22"/>
        </w:rPr>
        <w:lastRenderedPageBreak/>
        <w:t>(</w:t>
      </w:r>
      <w:r w:rsidR="00057E7D" w:rsidRPr="00D32416">
        <w:rPr>
          <w:rFonts w:asciiTheme="minorHAnsi" w:hAnsiTheme="minorHAnsi" w:cstheme="minorHAnsi"/>
          <w:color w:val="232323"/>
          <w:sz w:val="22"/>
          <w:szCs w:val="22"/>
          <w:lang w:val="en-US"/>
        </w:rPr>
        <w:t>American</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Society</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for</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Radiation</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Oncology</w:t>
      </w:r>
      <w:r w:rsidR="00F043B1" w:rsidRPr="00D32416">
        <w:rPr>
          <w:rFonts w:asciiTheme="minorHAnsi" w:hAnsiTheme="minorHAnsi" w:cstheme="minorHAnsi"/>
          <w:color w:val="232323"/>
          <w:sz w:val="22"/>
          <w:szCs w:val="22"/>
        </w:rPr>
        <w:t xml:space="preserve"> – </w:t>
      </w:r>
      <w:r w:rsidR="00057E7D" w:rsidRPr="00D32416">
        <w:rPr>
          <w:rFonts w:asciiTheme="minorHAnsi" w:hAnsiTheme="minorHAnsi" w:cstheme="minorHAnsi"/>
          <w:color w:val="232323"/>
          <w:sz w:val="22"/>
          <w:szCs w:val="22"/>
          <w:lang w:val="en-US"/>
        </w:rPr>
        <w:t>ASTRO</w:t>
      </w:r>
      <w:r w:rsidR="00F043B1"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American</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Society</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of</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Clinical</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Oncology</w:t>
      </w:r>
      <w:r w:rsidR="00F043B1" w:rsidRPr="00D32416">
        <w:rPr>
          <w:rFonts w:asciiTheme="minorHAnsi" w:hAnsiTheme="minorHAnsi" w:cstheme="minorHAnsi"/>
          <w:color w:val="232323"/>
          <w:sz w:val="22"/>
          <w:szCs w:val="22"/>
        </w:rPr>
        <w:t xml:space="preserve"> – </w:t>
      </w:r>
      <w:r w:rsidR="00057E7D" w:rsidRPr="00D32416">
        <w:rPr>
          <w:rFonts w:asciiTheme="minorHAnsi" w:hAnsiTheme="minorHAnsi" w:cstheme="minorHAnsi"/>
          <w:color w:val="232323"/>
          <w:sz w:val="22"/>
          <w:szCs w:val="22"/>
          <w:lang w:val="en-US"/>
        </w:rPr>
        <w:t>ASCO</w:t>
      </w:r>
      <w:r w:rsidR="00F043B1"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American</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Urological</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Association</w:t>
      </w:r>
      <w:r w:rsidR="00F043B1" w:rsidRPr="00D32416">
        <w:rPr>
          <w:rFonts w:asciiTheme="minorHAnsi" w:hAnsiTheme="minorHAnsi" w:cstheme="minorHAnsi"/>
          <w:color w:val="232323"/>
          <w:sz w:val="22"/>
          <w:szCs w:val="22"/>
        </w:rPr>
        <w:t xml:space="preserve"> - </w:t>
      </w:r>
      <w:r w:rsidR="00057E7D" w:rsidRPr="00D32416">
        <w:rPr>
          <w:rFonts w:asciiTheme="minorHAnsi" w:hAnsiTheme="minorHAnsi" w:cstheme="minorHAnsi"/>
          <w:color w:val="232323"/>
          <w:sz w:val="22"/>
          <w:szCs w:val="22"/>
          <w:lang w:val="en-US"/>
        </w:rPr>
        <w:t>AUA</w:t>
      </w:r>
      <w:r w:rsidR="00F043B1" w:rsidRPr="00D32416">
        <w:rPr>
          <w:rFonts w:asciiTheme="minorHAnsi" w:hAnsiTheme="minorHAnsi" w:cstheme="minorHAnsi"/>
          <w:color w:val="232323"/>
          <w:sz w:val="22"/>
          <w:szCs w:val="22"/>
        </w:rPr>
        <w:t>)</w:t>
      </w:r>
      <w:r w:rsidR="00892E74" w:rsidRPr="00D32416">
        <w:rPr>
          <w:rFonts w:asciiTheme="minorHAnsi" w:hAnsiTheme="minorHAnsi" w:cstheme="minorHAnsi"/>
          <w:color w:val="232323"/>
          <w:sz w:val="22"/>
          <w:szCs w:val="22"/>
        </w:rPr>
        <w:t>[23-27</w:t>
      </w:r>
      <w:r w:rsidR="00057E7D" w:rsidRPr="00D32416">
        <w:rPr>
          <w:rFonts w:asciiTheme="minorHAnsi" w:hAnsiTheme="minorHAnsi" w:cstheme="minorHAnsi"/>
          <w:color w:val="232323"/>
          <w:sz w:val="22"/>
          <w:szCs w:val="22"/>
        </w:rPr>
        <w:t>].</w:t>
      </w:r>
      <w:r w:rsidR="00057E7D" w:rsidRPr="00D32416">
        <w:rPr>
          <w:rFonts w:asciiTheme="minorHAnsi" w:hAnsiTheme="minorHAnsi" w:cstheme="minorHAnsi"/>
          <w:b/>
          <w:color w:val="232323"/>
          <w:sz w:val="22"/>
          <w:szCs w:val="22"/>
        </w:rPr>
        <w:t xml:space="preserve"> </w:t>
      </w:r>
    </w:p>
    <w:p w14:paraId="27431406" w14:textId="77777777" w:rsidR="000209A8" w:rsidRPr="00EF2861" w:rsidRDefault="000209A8" w:rsidP="00D32416">
      <w:pPr>
        <w:pStyle w:val="headinganchor"/>
        <w:shd w:val="clear" w:color="auto" w:fill="FFFFFF"/>
        <w:spacing w:after="0" w:line="360" w:lineRule="auto"/>
        <w:rPr>
          <w:rFonts w:asciiTheme="minorHAnsi" w:hAnsiTheme="minorHAnsi" w:cstheme="minorHAnsi"/>
          <w:b/>
          <w:color w:val="232323"/>
          <w:sz w:val="22"/>
          <w:szCs w:val="22"/>
        </w:rPr>
      </w:pPr>
      <w:r w:rsidRPr="00D32416">
        <w:rPr>
          <w:rFonts w:asciiTheme="minorHAnsi" w:hAnsiTheme="minorHAnsi" w:cstheme="minorHAnsi"/>
          <w:i/>
          <w:color w:val="232323"/>
          <w:sz w:val="22"/>
          <w:szCs w:val="22"/>
        </w:rPr>
        <w:t xml:space="preserve">Γ) </w:t>
      </w:r>
      <w:r w:rsidR="0087600A" w:rsidRPr="00D32416">
        <w:rPr>
          <w:rFonts w:asciiTheme="minorHAnsi" w:hAnsiTheme="minorHAnsi" w:cstheme="minorHAnsi"/>
          <w:i/>
          <w:color w:val="232323"/>
          <w:sz w:val="22"/>
          <w:szCs w:val="22"/>
        </w:rPr>
        <w:t>Απεικονιστικά καθοδηγούμενη ακτινοθεραπεία (</w:t>
      </w:r>
      <w:r w:rsidR="0087600A" w:rsidRPr="00D32416">
        <w:rPr>
          <w:rFonts w:asciiTheme="minorHAnsi" w:hAnsiTheme="minorHAnsi" w:cstheme="minorHAnsi"/>
          <w:i/>
          <w:color w:val="232323"/>
          <w:sz w:val="22"/>
          <w:szCs w:val="22"/>
          <w:lang w:val="en-US"/>
        </w:rPr>
        <w:t>Image</w:t>
      </w:r>
      <w:r w:rsidR="0087600A" w:rsidRPr="00D32416">
        <w:rPr>
          <w:rFonts w:asciiTheme="minorHAnsi" w:hAnsiTheme="minorHAnsi" w:cstheme="minorHAnsi"/>
          <w:i/>
          <w:color w:val="232323"/>
          <w:sz w:val="22"/>
          <w:szCs w:val="22"/>
        </w:rPr>
        <w:t>-</w:t>
      </w:r>
      <w:r w:rsidR="0087600A" w:rsidRPr="00D32416">
        <w:rPr>
          <w:rFonts w:asciiTheme="minorHAnsi" w:hAnsiTheme="minorHAnsi" w:cstheme="minorHAnsi"/>
          <w:i/>
          <w:color w:val="232323"/>
          <w:sz w:val="22"/>
          <w:szCs w:val="22"/>
          <w:lang w:val="en-US"/>
        </w:rPr>
        <w:t>Guided</w:t>
      </w:r>
      <w:r w:rsidR="0087600A" w:rsidRPr="00D32416">
        <w:rPr>
          <w:rFonts w:asciiTheme="minorHAnsi" w:hAnsiTheme="minorHAnsi" w:cstheme="minorHAnsi"/>
          <w:i/>
          <w:color w:val="232323"/>
          <w:sz w:val="22"/>
          <w:szCs w:val="22"/>
        </w:rPr>
        <w:t xml:space="preserve"> </w:t>
      </w:r>
      <w:r w:rsidR="0087600A" w:rsidRPr="00D32416">
        <w:rPr>
          <w:rFonts w:asciiTheme="minorHAnsi" w:hAnsiTheme="minorHAnsi" w:cstheme="minorHAnsi"/>
          <w:i/>
          <w:color w:val="232323"/>
          <w:sz w:val="22"/>
          <w:szCs w:val="22"/>
          <w:lang w:val="en-US"/>
        </w:rPr>
        <w:t>Radiation</w:t>
      </w:r>
      <w:r w:rsidR="0087600A" w:rsidRPr="00D32416">
        <w:rPr>
          <w:rFonts w:asciiTheme="minorHAnsi" w:hAnsiTheme="minorHAnsi" w:cstheme="minorHAnsi"/>
          <w:i/>
          <w:color w:val="232323"/>
          <w:sz w:val="22"/>
          <w:szCs w:val="22"/>
        </w:rPr>
        <w:t xml:space="preserve"> </w:t>
      </w:r>
      <w:r w:rsidR="0087600A" w:rsidRPr="00D32416">
        <w:rPr>
          <w:rFonts w:asciiTheme="minorHAnsi" w:hAnsiTheme="minorHAnsi" w:cstheme="minorHAnsi"/>
          <w:i/>
          <w:color w:val="232323"/>
          <w:sz w:val="22"/>
          <w:szCs w:val="22"/>
          <w:lang w:val="en-US"/>
        </w:rPr>
        <w:t>Therapy</w:t>
      </w:r>
      <w:r w:rsidR="0087600A" w:rsidRPr="00D32416">
        <w:rPr>
          <w:rFonts w:asciiTheme="minorHAnsi" w:hAnsiTheme="minorHAnsi" w:cstheme="minorHAnsi"/>
          <w:i/>
          <w:color w:val="232323"/>
          <w:sz w:val="22"/>
          <w:szCs w:val="22"/>
        </w:rPr>
        <w:t xml:space="preserve"> —</w:t>
      </w:r>
      <w:r w:rsidR="0087600A" w:rsidRPr="00D32416">
        <w:rPr>
          <w:rFonts w:asciiTheme="minorHAnsi" w:hAnsiTheme="minorHAnsi" w:cstheme="minorHAnsi"/>
          <w:i/>
          <w:color w:val="232323"/>
          <w:sz w:val="22"/>
          <w:szCs w:val="22"/>
          <w:lang w:val="en-US"/>
        </w:rPr>
        <w:t>IGRT</w:t>
      </w:r>
      <w:r w:rsidR="0087600A" w:rsidRPr="00D32416">
        <w:rPr>
          <w:rFonts w:asciiTheme="minorHAnsi" w:hAnsiTheme="minorHAnsi" w:cstheme="minorHAnsi"/>
          <w:i/>
          <w:color w:val="232323"/>
          <w:sz w:val="22"/>
          <w:szCs w:val="22"/>
        </w:rPr>
        <w:t>)</w:t>
      </w:r>
      <w:r w:rsidRPr="00D32416">
        <w:rPr>
          <w:rFonts w:asciiTheme="minorHAnsi" w:hAnsiTheme="minorHAnsi" w:cstheme="minorHAnsi"/>
          <w:i/>
          <w:color w:val="232323"/>
          <w:sz w:val="22"/>
          <w:szCs w:val="22"/>
        </w:rPr>
        <w:t>:</w:t>
      </w:r>
      <w:r w:rsidRPr="00D32416">
        <w:rPr>
          <w:rFonts w:asciiTheme="minorHAnsi" w:hAnsiTheme="minorHAnsi" w:cstheme="minorHAnsi"/>
          <w:b/>
          <w:color w:val="232323"/>
          <w:sz w:val="22"/>
          <w:szCs w:val="22"/>
        </w:rPr>
        <w:t xml:space="preserve"> </w:t>
      </w:r>
      <w:r w:rsidR="0087600A" w:rsidRPr="00D32416">
        <w:rPr>
          <w:rFonts w:asciiTheme="minorHAnsi" w:hAnsiTheme="minorHAnsi" w:cstheme="minorHAnsi"/>
          <w:color w:val="232323"/>
          <w:sz w:val="22"/>
          <w:szCs w:val="22"/>
        </w:rPr>
        <w:t xml:space="preserve">Όταν χορηγείται ακτινοθεραπεία στον προστατικό αδένα, είναι σημαντικό να έχουμε ακριβή εκτίμηση της θέσης του, διότι μπορεί να </w:t>
      </w:r>
      <w:r w:rsidR="00C1148E" w:rsidRPr="00D32416">
        <w:rPr>
          <w:rFonts w:asciiTheme="minorHAnsi" w:hAnsiTheme="minorHAnsi" w:cstheme="minorHAnsi"/>
          <w:color w:val="232323"/>
          <w:sz w:val="22"/>
          <w:szCs w:val="22"/>
        </w:rPr>
        <w:t>διαφέρει καθημερινά.</w:t>
      </w:r>
      <w:r w:rsidR="0087600A" w:rsidRPr="00D32416">
        <w:rPr>
          <w:rFonts w:asciiTheme="minorHAnsi" w:hAnsiTheme="minorHAnsi" w:cstheme="minorHAnsi"/>
          <w:color w:val="232323"/>
          <w:sz w:val="22"/>
          <w:szCs w:val="22"/>
        </w:rPr>
        <w:t xml:space="preserve"> </w:t>
      </w:r>
      <w:r w:rsidR="00C1148E" w:rsidRPr="00D32416">
        <w:rPr>
          <w:rFonts w:asciiTheme="minorHAnsi" w:hAnsiTheme="minorHAnsi" w:cstheme="minorHAnsi"/>
          <w:color w:val="232323"/>
          <w:sz w:val="22"/>
          <w:szCs w:val="22"/>
        </w:rPr>
        <w:t xml:space="preserve">Η </w:t>
      </w:r>
      <w:r w:rsidR="0087600A" w:rsidRPr="00D32416">
        <w:rPr>
          <w:rFonts w:asciiTheme="minorHAnsi" w:hAnsiTheme="minorHAnsi" w:cstheme="minorHAnsi"/>
          <w:color w:val="232323"/>
          <w:sz w:val="22"/>
          <w:szCs w:val="22"/>
          <w:lang w:val="en-US"/>
        </w:rPr>
        <w:t>IGRT</w:t>
      </w:r>
      <w:r w:rsidR="0087600A" w:rsidRPr="00D32416">
        <w:rPr>
          <w:rFonts w:asciiTheme="minorHAnsi" w:hAnsiTheme="minorHAnsi" w:cstheme="minorHAnsi"/>
          <w:color w:val="232323"/>
          <w:sz w:val="22"/>
          <w:szCs w:val="22"/>
        </w:rPr>
        <w:t xml:space="preserve"> </w:t>
      </w:r>
      <w:r w:rsidR="00C1148E" w:rsidRPr="00D32416">
        <w:rPr>
          <w:rFonts w:asciiTheme="minorHAnsi" w:hAnsiTheme="minorHAnsi" w:cstheme="minorHAnsi"/>
          <w:color w:val="232323"/>
          <w:sz w:val="22"/>
          <w:szCs w:val="22"/>
        </w:rPr>
        <w:t>είναι μια τεχνική που μπορεί να εφαρμοσθεί με τη 3</w:t>
      </w:r>
      <w:r w:rsidR="00C1148E" w:rsidRPr="00D32416">
        <w:rPr>
          <w:rFonts w:asciiTheme="minorHAnsi" w:hAnsiTheme="minorHAnsi" w:cstheme="minorHAnsi"/>
          <w:color w:val="232323"/>
          <w:sz w:val="22"/>
          <w:szCs w:val="22"/>
          <w:lang w:val="en-US"/>
        </w:rPr>
        <w:t>D</w:t>
      </w:r>
      <w:r w:rsidR="00C1148E" w:rsidRPr="00D32416">
        <w:rPr>
          <w:rFonts w:asciiTheme="minorHAnsi" w:hAnsiTheme="minorHAnsi" w:cstheme="minorHAnsi"/>
          <w:color w:val="232323"/>
          <w:sz w:val="22"/>
          <w:szCs w:val="22"/>
        </w:rPr>
        <w:t>-</w:t>
      </w:r>
      <w:r w:rsidR="00C1148E" w:rsidRPr="00D32416">
        <w:rPr>
          <w:rFonts w:asciiTheme="minorHAnsi" w:hAnsiTheme="minorHAnsi" w:cstheme="minorHAnsi"/>
          <w:color w:val="232323"/>
          <w:sz w:val="22"/>
          <w:szCs w:val="22"/>
          <w:lang w:val="en-US"/>
        </w:rPr>
        <w:t>CRT</w:t>
      </w:r>
      <w:r w:rsidR="00C1148E" w:rsidRPr="00D32416">
        <w:rPr>
          <w:rFonts w:asciiTheme="minorHAnsi" w:hAnsiTheme="minorHAnsi" w:cstheme="minorHAnsi"/>
          <w:color w:val="232323"/>
          <w:sz w:val="22"/>
          <w:szCs w:val="22"/>
        </w:rPr>
        <w:t xml:space="preserve"> ή</w:t>
      </w:r>
      <w:r w:rsidR="0087600A" w:rsidRPr="00D32416">
        <w:rPr>
          <w:rFonts w:asciiTheme="minorHAnsi" w:hAnsiTheme="minorHAnsi" w:cstheme="minorHAnsi"/>
          <w:color w:val="232323"/>
          <w:sz w:val="22"/>
          <w:szCs w:val="22"/>
        </w:rPr>
        <w:t xml:space="preserve"> </w:t>
      </w:r>
      <w:r w:rsidR="0087600A" w:rsidRPr="00D32416">
        <w:rPr>
          <w:rFonts w:asciiTheme="minorHAnsi" w:hAnsiTheme="minorHAnsi" w:cstheme="minorHAnsi"/>
          <w:color w:val="232323"/>
          <w:sz w:val="22"/>
          <w:szCs w:val="22"/>
          <w:lang w:val="en-US"/>
        </w:rPr>
        <w:t>IMRT</w:t>
      </w:r>
      <w:r w:rsidR="00C1148E" w:rsidRPr="00D32416">
        <w:rPr>
          <w:rFonts w:asciiTheme="minorHAnsi" w:hAnsiTheme="minorHAnsi" w:cstheme="minorHAnsi"/>
          <w:color w:val="232323"/>
          <w:sz w:val="22"/>
          <w:szCs w:val="22"/>
        </w:rPr>
        <w:t>. Απαιτεί την απεικόνιση πριν από κάθε συνεδρία, με σκοπό την επαλήθευση (</w:t>
      </w:r>
      <w:r w:rsidR="0087600A" w:rsidRPr="00D32416">
        <w:rPr>
          <w:rFonts w:asciiTheme="minorHAnsi" w:hAnsiTheme="minorHAnsi" w:cstheme="minorHAnsi"/>
          <w:color w:val="232323"/>
          <w:sz w:val="22"/>
          <w:szCs w:val="22"/>
          <w:lang w:val="en-US"/>
        </w:rPr>
        <w:t>tracking</w:t>
      </w:r>
      <w:r w:rsidR="00C1148E" w:rsidRPr="00D32416">
        <w:rPr>
          <w:rFonts w:asciiTheme="minorHAnsi" w:hAnsiTheme="minorHAnsi" w:cstheme="minorHAnsi"/>
          <w:color w:val="232323"/>
          <w:sz w:val="22"/>
          <w:szCs w:val="22"/>
        </w:rPr>
        <w:t>) της θέσης του όγκου και των γύρω οργάνων</w:t>
      </w:r>
      <w:r w:rsidR="0087600A" w:rsidRPr="00D32416">
        <w:rPr>
          <w:rFonts w:asciiTheme="minorHAnsi" w:hAnsiTheme="minorHAnsi" w:cstheme="minorHAnsi"/>
          <w:color w:val="232323"/>
          <w:sz w:val="22"/>
          <w:szCs w:val="22"/>
        </w:rPr>
        <w:t xml:space="preserve">. </w:t>
      </w:r>
      <w:r w:rsidR="00C1148E" w:rsidRPr="00D32416">
        <w:rPr>
          <w:rFonts w:asciiTheme="minorHAnsi" w:hAnsiTheme="minorHAnsi" w:cstheme="minorHAnsi"/>
          <w:color w:val="232323"/>
          <w:sz w:val="22"/>
          <w:szCs w:val="22"/>
        </w:rPr>
        <w:t xml:space="preserve">Η </w:t>
      </w:r>
      <w:r w:rsidR="0087600A" w:rsidRPr="00D32416">
        <w:rPr>
          <w:rFonts w:asciiTheme="minorHAnsi" w:hAnsiTheme="minorHAnsi" w:cstheme="minorHAnsi"/>
          <w:color w:val="232323"/>
          <w:sz w:val="22"/>
          <w:szCs w:val="22"/>
          <w:lang w:val="en-US"/>
        </w:rPr>
        <w:t>IGRT</w:t>
      </w:r>
      <w:r w:rsidR="0087600A" w:rsidRPr="00D32416">
        <w:rPr>
          <w:rFonts w:asciiTheme="minorHAnsi" w:hAnsiTheme="minorHAnsi" w:cstheme="minorHAnsi"/>
          <w:color w:val="232323"/>
          <w:sz w:val="22"/>
          <w:szCs w:val="22"/>
        </w:rPr>
        <w:t xml:space="preserve"> </w:t>
      </w:r>
      <w:r w:rsidR="00C1148E" w:rsidRPr="00D32416">
        <w:rPr>
          <w:rFonts w:asciiTheme="minorHAnsi" w:hAnsiTheme="minorHAnsi" w:cstheme="minorHAnsi"/>
          <w:color w:val="232323"/>
          <w:sz w:val="22"/>
          <w:szCs w:val="22"/>
        </w:rPr>
        <w:t>συστήνεται όταν εφαρμόζεται</w:t>
      </w:r>
      <w:r w:rsidR="0087600A" w:rsidRPr="00D32416">
        <w:rPr>
          <w:rFonts w:asciiTheme="minorHAnsi" w:hAnsiTheme="minorHAnsi" w:cstheme="minorHAnsi"/>
          <w:color w:val="232323"/>
          <w:sz w:val="22"/>
          <w:szCs w:val="22"/>
        </w:rPr>
        <w:t xml:space="preserve"> </w:t>
      </w:r>
      <w:r w:rsidR="0087600A" w:rsidRPr="00D32416">
        <w:rPr>
          <w:rFonts w:asciiTheme="minorHAnsi" w:hAnsiTheme="minorHAnsi" w:cstheme="minorHAnsi"/>
          <w:color w:val="232323"/>
          <w:sz w:val="22"/>
          <w:szCs w:val="22"/>
          <w:lang w:val="en-US"/>
        </w:rPr>
        <w:t>IMRT</w:t>
      </w:r>
      <w:r w:rsidR="0087600A" w:rsidRPr="00D32416">
        <w:rPr>
          <w:rFonts w:asciiTheme="minorHAnsi" w:hAnsiTheme="minorHAnsi" w:cstheme="minorHAnsi"/>
          <w:color w:val="232323"/>
          <w:sz w:val="22"/>
          <w:szCs w:val="22"/>
        </w:rPr>
        <w:t xml:space="preserve">, </w:t>
      </w:r>
      <w:r w:rsidR="00C1148E" w:rsidRPr="00D32416">
        <w:rPr>
          <w:rFonts w:asciiTheme="minorHAnsi" w:hAnsiTheme="minorHAnsi" w:cstheme="minorHAnsi"/>
          <w:color w:val="232323"/>
          <w:sz w:val="22"/>
          <w:szCs w:val="22"/>
        </w:rPr>
        <w:t xml:space="preserve">ιδιαιτέρως ως υποκλασματοποιημένη </w:t>
      </w:r>
      <w:r w:rsidR="00C6445B" w:rsidRPr="00D32416">
        <w:rPr>
          <w:rFonts w:asciiTheme="minorHAnsi" w:hAnsiTheme="minorHAnsi" w:cstheme="minorHAnsi"/>
          <w:color w:val="232323"/>
          <w:sz w:val="22"/>
          <w:szCs w:val="22"/>
        </w:rPr>
        <w:t>ή υπερ-υποκλασματοποιημένη ακτινοθεραπεία</w:t>
      </w:r>
      <w:r w:rsidR="00892E74" w:rsidRPr="00D32416">
        <w:rPr>
          <w:rFonts w:asciiTheme="minorHAnsi" w:hAnsiTheme="minorHAnsi" w:cstheme="minorHAnsi"/>
          <w:color w:val="232323"/>
          <w:sz w:val="22"/>
          <w:szCs w:val="22"/>
        </w:rPr>
        <w:t>[28</w:t>
      </w:r>
      <w:r w:rsidR="0087600A" w:rsidRPr="00D32416">
        <w:rPr>
          <w:rFonts w:asciiTheme="minorHAnsi" w:hAnsiTheme="minorHAnsi" w:cstheme="minorHAnsi"/>
          <w:color w:val="232323"/>
          <w:sz w:val="22"/>
          <w:szCs w:val="22"/>
        </w:rPr>
        <w:t xml:space="preserve">]. </w:t>
      </w:r>
      <w:r w:rsidR="00892E74" w:rsidRPr="00D32416">
        <w:rPr>
          <w:rFonts w:asciiTheme="minorHAnsi" w:hAnsiTheme="minorHAnsi" w:cstheme="minorHAnsi"/>
          <w:color w:val="232323"/>
          <w:sz w:val="22"/>
          <w:szCs w:val="22"/>
        </w:rPr>
        <w:t xml:space="preserve"> </w:t>
      </w:r>
      <w:r w:rsidR="00624949" w:rsidRPr="00D32416">
        <w:rPr>
          <w:rFonts w:asciiTheme="minorHAnsi" w:hAnsiTheme="minorHAnsi" w:cstheme="minorHAnsi"/>
          <w:color w:val="232323"/>
          <w:sz w:val="22"/>
          <w:szCs w:val="22"/>
          <w:lang w:val="en-US"/>
        </w:rPr>
        <w:t>Y</w:t>
      </w:r>
      <w:r w:rsidR="00624949" w:rsidRPr="00D32416">
        <w:rPr>
          <w:rFonts w:asciiTheme="minorHAnsi" w:hAnsiTheme="minorHAnsi" w:cstheme="minorHAnsi"/>
          <w:color w:val="232323"/>
          <w:sz w:val="22"/>
          <w:szCs w:val="22"/>
        </w:rPr>
        <w:t xml:space="preserve">πάρχουν διάφορες μέθοδοι ανίχνευσης της θέσης του προστάτη, πριν τη θεραπεία. Αυτές είναι η εμφύτευση </w:t>
      </w:r>
      <w:r w:rsidR="00624949" w:rsidRPr="00D32416">
        <w:rPr>
          <w:rFonts w:asciiTheme="minorHAnsi" w:hAnsiTheme="minorHAnsi" w:cstheme="minorHAnsi"/>
          <w:color w:val="232323"/>
          <w:sz w:val="22"/>
          <w:szCs w:val="22"/>
          <w:lang w:val="en-US"/>
        </w:rPr>
        <w:t>fiducial</w:t>
      </w:r>
      <w:r w:rsidR="00624949" w:rsidRPr="00D32416">
        <w:rPr>
          <w:rFonts w:asciiTheme="minorHAnsi" w:hAnsiTheme="minorHAnsi" w:cstheme="minorHAnsi"/>
          <w:color w:val="232323"/>
          <w:sz w:val="22"/>
          <w:szCs w:val="22"/>
        </w:rPr>
        <w:t xml:space="preserve"> με</w:t>
      </w:r>
      <w:r w:rsidR="0087600A" w:rsidRPr="00D32416">
        <w:rPr>
          <w:rFonts w:asciiTheme="minorHAnsi" w:hAnsiTheme="minorHAnsi" w:cstheme="minorHAnsi"/>
          <w:color w:val="232323"/>
          <w:sz w:val="22"/>
          <w:szCs w:val="22"/>
        </w:rPr>
        <w:t xml:space="preserve"> </w:t>
      </w:r>
      <w:r w:rsidR="00624949" w:rsidRPr="00D32416">
        <w:rPr>
          <w:rFonts w:asciiTheme="minorHAnsi" w:hAnsiTheme="minorHAnsi" w:cstheme="minorHAnsi"/>
          <w:color w:val="232323"/>
          <w:sz w:val="22"/>
          <w:szCs w:val="22"/>
        </w:rPr>
        <w:t xml:space="preserve">απεικόνιση </w:t>
      </w:r>
      <w:r w:rsidR="0087600A" w:rsidRPr="00D32416">
        <w:rPr>
          <w:rFonts w:asciiTheme="minorHAnsi" w:hAnsiTheme="minorHAnsi" w:cstheme="minorHAnsi"/>
          <w:color w:val="232323"/>
          <w:sz w:val="22"/>
          <w:szCs w:val="22"/>
          <w:lang w:val="en-US"/>
        </w:rPr>
        <w:t>megavoltage</w:t>
      </w:r>
      <w:r w:rsidR="0087600A" w:rsidRPr="00D32416">
        <w:rPr>
          <w:rFonts w:asciiTheme="minorHAnsi" w:hAnsiTheme="minorHAnsi" w:cstheme="minorHAnsi"/>
          <w:color w:val="232323"/>
          <w:sz w:val="22"/>
          <w:szCs w:val="22"/>
        </w:rPr>
        <w:t xml:space="preserve"> </w:t>
      </w:r>
      <w:r w:rsidR="0087600A" w:rsidRPr="00D32416">
        <w:rPr>
          <w:rFonts w:asciiTheme="minorHAnsi" w:hAnsiTheme="minorHAnsi" w:cstheme="minorHAnsi"/>
          <w:color w:val="232323"/>
          <w:sz w:val="22"/>
          <w:szCs w:val="22"/>
          <w:lang w:val="en-US"/>
        </w:rPr>
        <w:t>portal</w:t>
      </w:r>
      <w:r w:rsidR="0087600A" w:rsidRPr="00D32416">
        <w:rPr>
          <w:rFonts w:asciiTheme="minorHAnsi" w:hAnsiTheme="minorHAnsi" w:cstheme="minorHAnsi"/>
          <w:color w:val="232323"/>
          <w:sz w:val="22"/>
          <w:szCs w:val="22"/>
        </w:rPr>
        <w:t xml:space="preserve">, </w:t>
      </w:r>
      <w:r w:rsidR="00624949" w:rsidRPr="00D32416">
        <w:rPr>
          <w:rFonts w:asciiTheme="minorHAnsi" w:hAnsiTheme="minorHAnsi" w:cstheme="minorHAnsi"/>
          <w:color w:val="232323"/>
          <w:sz w:val="22"/>
          <w:szCs w:val="22"/>
        </w:rPr>
        <w:t xml:space="preserve">απεικόνιση </w:t>
      </w:r>
      <w:r w:rsidR="00624949" w:rsidRPr="00D32416">
        <w:rPr>
          <w:rFonts w:asciiTheme="minorHAnsi" w:hAnsiTheme="minorHAnsi" w:cstheme="minorHAnsi"/>
          <w:color w:val="232323"/>
          <w:sz w:val="22"/>
          <w:szCs w:val="22"/>
          <w:lang w:val="en-US"/>
        </w:rPr>
        <w:t>kilovoltage</w:t>
      </w:r>
      <w:r w:rsidR="0087600A" w:rsidRPr="00D32416">
        <w:rPr>
          <w:rFonts w:asciiTheme="minorHAnsi" w:hAnsiTheme="minorHAnsi" w:cstheme="minorHAnsi"/>
          <w:color w:val="232323"/>
          <w:sz w:val="22"/>
          <w:szCs w:val="22"/>
        </w:rPr>
        <w:t xml:space="preserve">, </w:t>
      </w:r>
      <w:r w:rsidR="00624949" w:rsidRPr="00D32416">
        <w:rPr>
          <w:rFonts w:asciiTheme="minorHAnsi" w:hAnsiTheme="minorHAnsi" w:cstheme="minorHAnsi"/>
          <w:color w:val="232323"/>
          <w:sz w:val="22"/>
          <w:szCs w:val="22"/>
        </w:rPr>
        <w:t>υπέρηχος κοιλίας</w:t>
      </w:r>
      <w:r w:rsidR="0087600A" w:rsidRPr="00D32416">
        <w:rPr>
          <w:rFonts w:asciiTheme="minorHAnsi" w:hAnsiTheme="minorHAnsi" w:cstheme="minorHAnsi"/>
          <w:color w:val="232323"/>
          <w:sz w:val="22"/>
          <w:szCs w:val="22"/>
        </w:rPr>
        <w:t xml:space="preserve">, </w:t>
      </w:r>
      <w:r w:rsidR="0087600A" w:rsidRPr="00D32416">
        <w:rPr>
          <w:rFonts w:asciiTheme="minorHAnsi" w:hAnsiTheme="minorHAnsi" w:cstheme="minorHAnsi"/>
          <w:color w:val="232323"/>
          <w:sz w:val="22"/>
          <w:szCs w:val="22"/>
          <w:lang w:val="en-US"/>
        </w:rPr>
        <w:t>co</w:t>
      </w:r>
      <w:r w:rsidR="00624949" w:rsidRPr="00D32416">
        <w:rPr>
          <w:rFonts w:asciiTheme="minorHAnsi" w:hAnsiTheme="minorHAnsi" w:cstheme="minorHAnsi"/>
          <w:color w:val="232323"/>
          <w:sz w:val="22"/>
          <w:szCs w:val="22"/>
          <w:lang w:val="en-US"/>
        </w:rPr>
        <w:t>ne</w:t>
      </w:r>
      <w:r w:rsidR="00624949" w:rsidRPr="00D32416">
        <w:rPr>
          <w:rFonts w:asciiTheme="minorHAnsi" w:hAnsiTheme="minorHAnsi" w:cstheme="minorHAnsi"/>
          <w:color w:val="232323"/>
          <w:sz w:val="22"/>
          <w:szCs w:val="22"/>
        </w:rPr>
        <w:t xml:space="preserve"> </w:t>
      </w:r>
      <w:r w:rsidR="00624949" w:rsidRPr="00D32416">
        <w:rPr>
          <w:rFonts w:asciiTheme="minorHAnsi" w:hAnsiTheme="minorHAnsi" w:cstheme="minorHAnsi"/>
          <w:color w:val="232323"/>
          <w:sz w:val="22"/>
          <w:szCs w:val="22"/>
          <w:lang w:val="en-US"/>
        </w:rPr>
        <w:t>beam</w:t>
      </w:r>
      <w:r w:rsidR="00624949" w:rsidRPr="00D32416">
        <w:rPr>
          <w:rFonts w:asciiTheme="minorHAnsi" w:hAnsiTheme="minorHAnsi" w:cstheme="minorHAnsi"/>
          <w:color w:val="232323"/>
          <w:sz w:val="22"/>
          <w:szCs w:val="22"/>
        </w:rPr>
        <w:t xml:space="preserve"> </w:t>
      </w:r>
      <w:r w:rsidR="00624949" w:rsidRPr="00D32416">
        <w:rPr>
          <w:rFonts w:asciiTheme="minorHAnsi" w:hAnsiTheme="minorHAnsi" w:cstheme="minorHAnsi"/>
          <w:color w:val="232323"/>
          <w:sz w:val="22"/>
          <w:szCs w:val="22"/>
          <w:lang w:val="en-US"/>
        </w:rPr>
        <w:t>CT</w:t>
      </w:r>
      <w:r w:rsidR="00624949" w:rsidRPr="00D32416">
        <w:rPr>
          <w:rFonts w:asciiTheme="minorHAnsi" w:hAnsiTheme="minorHAnsi" w:cstheme="minorHAnsi"/>
          <w:color w:val="232323"/>
          <w:sz w:val="22"/>
          <w:szCs w:val="22"/>
        </w:rPr>
        <w:t>, 4</w:t>
      </w:r>
      <w:r w:rsidR="00624949" w:rsidRPr="00D32416">
        <w:rPr>
          <w:rFonts w:asciiTheme="minorHAnsi" w:hAnsiTheme="minorHAnsi" w:cstheme="minorHAnsi"/>
          <w:color w:val="232323"/>
          <w:sz w:val="22"/>
          <w:szCs w:val="22"/>
          <w:lang w:val="en-US"/>
        </w:rPr>
        <w:t>D</w:t>
      </w:r>
      <w:r w:rsidR="00624949" w:rsidRPr="00D32416">
        <w:rPr>
          <w:rFonts w:asciiTheme="minorHAnsi" w:hAnsiTheme="minorHAnsi" w:cstheme="minorHAnsi"/>
          <w:color w:val="232323"/>
          <w:sz w:val="22"/>
          <w:szCs w:val="22"/>
        </w:rPr>
        <w:t>-</w:t>
      </w:r>
      <w:r w:rsidR="0087600A" w:rsidRPr="00D32416">
        <w:rPr>
          <w:rFonts w:asciiTheme="minorHAnsi" w:hAnsiTheme="minorHAnsi" w:cstheme="minorHAnsi"/>
          <w:color w:val="232323"/>
          <w:sz w:val="22"/>
          <w:szCs w:val="22"/>
          <w:lang w:val="en-US"/>
        </w:rPr>
        <w:t>MRI</w:t>
      </w:r>
      <w:r w:rsidR="00624949" w:rsidRPr="00D32416">
        <w:rPr>
          <w:rFonts w:asciiTheme="minorHAnsi" w:hAnsiTheme="minorHAnsi" w:cstheme="minorHAnsi"/>
          <w:color w:val="232323"/>
          <w:sz w:val="22"/>
          <w:szCs w:val="22"/>
        </w:rPr>
        <w:t xml:space="preserve"> και συστήματα μετάδοσης ραδιοσυχνοτήτων</w:t>
      </w:r>
      <w:r w:rsidR="00A62E44" w:rsidRPr="00D32416">
        <w:rPr>
          <w:rFonts w:asciiTheme="minorHAnsi" w:hAnsiTheme="minorHAnsi" w:cstheme="minorHAnsi"/>
          <w:color w:val="232323"/>
          <w:sz w:val="22"/>
          <w:szCs w:val="22"/>
        </w:rPr>
        <w:t>[26</w:t>
      </w:r>
      <w:r w:rsidR="0087600A" w:rsidRPr="00D32416">
        <w:rPr>
          <w:rFonts w:asciiTheme="minorHAnsi" w:hAnsiTheme="minorHAnsi" w:cstheme="minorHAnsi"/>
          <w:color w:val="232323"/>
          <w:sz w:val="22"/>
          <w:szCs w:val="22"/>
        </w:rPr>
        <w:t>].</w:t>
      </w:r>
      <w:r w:rsidR="00C6445B" w:rsidRPr="00D32416">
        <w:rPr>
          <w:rFonts w:asciiTheme="minorHAnsi" w:hAnsiTheme="minorHAnsi" w:cstheme="minorHAnsi"/>
          <w:color w:val="232323"/>
          <w:sz w:val="22"/>
          <w:szCs w:val="22"/>
        </w:rPr>
        <w:t xml:space="preserve"> </w:t>
      </w:r>
      <w:r w:rsidRPr="00D32416">
        <w:rPr>
          <w:rFonts w:asciiTheme="minorHAnsi" w:hAnsiTheme="minorHAnsi" w:cstheme="minorHAnsi"/>
          <w:b/>
          <w:color w:val="232323"/>
          <w:sz w:val="22"/>
          <w:szCs w:val="22"/>
        </w:rPr>
        <w:t xml:space="preserve"> </w:t>
      </w:r>
      <w:r w:rsidR="00624949" w:rsidRPr="00D32416">
        <w:rPr>
          <w:rFonts w:asciiTheme="minorHAnsi" w:hAnsiTheme="minorHAnsi" w:cstheme="minorHAnsi"/>
          <w:color w:val="232323"/>
          <w:sz w:val="22"/>
          <w:szCs w:val="22"/>
        </w:rPr>
        <w:t xml:space="preserve">Οι περισσότερες δημοσιευμένες μελέτες που χρησιμοποιούν </w:t>
      </w:r>
      <w:r w:rsidR="00624949" w:rsidRPr="00D32416">
        <w:rPr>
          <w:rFonts w:asciiTheme="minorHAnsi" w:hAnsiTheme="minorHAnsi" w:cstheme="minorHAnsi"/>
          <w:color w:val="232323"/>
          <w:sz w:val="22"/>
          <w:szCs w:val="22"/>
          <w:lang w:val="en-US"/>
        </w:rPr>
        <w:t>IGRT</w:t>
      </w:r>
      <w:r w:rsidR="00624949" w:rsidRPr="00D32416">
        <w:rPr>
          <w:rFonts w:asciiTheme="minorHAnsi" w:hAnsiTheme="minorHAnsi" w:cstheme="minorHAnsi"/>
          <w:color w:val="232323"/>
          <w:sz w:val="22"/>
          <w:szCs w:val="22"/>
        </w:rPr>
        <w:t>, έδειξαν μικρότερα ποσοστά μετακτινικής τοξικότητας σε σχέση με τις μελέτες που δεν την εφάρμοσαν</w:t>
      </w:r>
      <w:r w:rsidR="0087600A" w:rsidRPr="00D32416">
        <w:rPr>
          <w:rFonts w:asciiTheme="minorHAnsi" w:hAnsiTheme="minorHAnsi" w:cstheme="minorHAnsi"/>
          <w:color w:val="232323"/>
          <w:sz w:val="22"/>
          <w:szCs w:val="22"/>
        </w:rPr>
        <w:t xml:space="preserve"> </w:t>
      </w:r>
      <w:r w:rsidR="00F73D3E" w:rsidRPr="00D32416">
        <w:rPr>
          <w:rFonts w:asciiTheme="minorHAnsi" w:hAnsiTheme="minorHAnsi" w:cstheme="minorHAnsi"/>
          <w:color w:val="232323"/>
          <w:sz w:val="22"/>
          <w:szCs w:val="22"/>
        </w:rPr>
        <w:t>[27-34</w:t>
      </w:r>
      <w:r w:rsidR="0087600A" w:rsidRPr="00D32416">
        <w:rPr>
          <w:rFonts w:asciiTheme="minorHAnsi" w:hAnsiTheme="minorHAnsi" w:cstheme="minorHAnsi"/>
          <w:color w:val="232323"/>
          <w:sz w:val="22"/>
          <w:szCs w:val="22"/>
        </w:rPr>
        <w:t xml:space="preserve">]. </w:t>
      </w:r>
      <w:r w:rsidR="00C6445B" w:rsidRPr="00D32416">
        <w:rPr>
          <w:rFonts w:asciiTheme="minorHAnsi" w:hAnsiTheme="minorHAnsi" w:cstheme="minorHAnsi"/>
          <w:color w:val="232323"/>
          <w:sz w:val="22"/>
          <w:szCs w:val="22"/>
        </w:rPr>
        <w:t xml:space="preserve">Με την εφαρμογή της </w:t>
      </w:r>
      <w:r w:rsidR="00C6445B" w:rsidRPr="00D32416">
        <w:rPr>
          <w:rFonts w:asciiTheme="minorHAnsi" w:hAnsiTheme="minorHAnsi" w:cstheme="minorHAnsi"/>
          <w:color w:val="232323"/>
          <w:sz w:val="22"/>
          <w:szCs w:val="22"/>
          <w:lang w:val="en-US"/>
        </w:rPr>
        <w:t>IGRT</w:t>
      </w:r>
      <w:r w:rsidR="00C6445B" w:rsidRPr="00D32416">
        <w:rPr>
          <w:rFonts w:asciiTheme="minorHAnsi" w:hAnsiTheme="minorHAnsi" w:cstheme="minorHAnsi"/>
          <w:color w:val="232323"/>
          <w:sz w:val="22"/>
          <w:szCs w:val="22"/>
        </w:rPr>
        <w:t xml:space="preserve"> μπορούμε να μειώσουμε τα περιθώρια στο σχεδιασμό και κατά συνέπεια της τοξικότητας από το ορθό και την ουροδόχο κύστη.</w:t>
      </w:r>
      <w:r w:rsidR="00C6445B" w:rsidRPr="00D32416">
        <w:rPr>
          <w:rFonts w:asciiTheme="minorHAnsi" w:hAnsiTheme="minorHAnsi" w:cstheme="minorHAnsi"/>
          <w:b/>
          <w:color w:val="232323"/>
          <w:sz w:val="22"/>
          <w:szCs w:val="22"/>
        </w:rPr>
        <w:t xml:space="preserve"> </w:t>
      </w:r>
    </w:p>
    <w:p w14:paraId="5363E453" w14:textId="77777777" w:rsidR="00AA7231" w:rsidRPr="00D32416" w:rsidRDefault="001B322D" w:rsidP="00D32416">
      <w:pPr>
        <w:pStyle w:val="headinganchor"/>
        <w:shd w:val="clear" w:color="auto" w:fill="FFFFFF"/>
        <w:spacing w:after="0" w:line="360" w:lineRule="auto"/>
        <w:rPr>
          <w:rFonts w:asciiTheme="minorHAnsi" w:hAnsiTheme="minorHAnsi" w:cstheme="minorHAnsi"/>
          <w:b/>
          <w:color w:val="232323"/>
          <w:sz w:val="22"/>
          <w:szCs w:val="22"/>
        </w:rPr>
      </w:pPr>
      <w:r w:rsidRPr="00D32416">
        <w:rPr>
          <w:rFonts w:asciiTheme="minorHAnsi" w:hAnsiTheme="minorHAnsi" w:cstheme="minorHAnsi"/>
          <w:i/>
          <w:color w:val="232323"/>
          <w:sz w:val="22"/>
          <w:szCs w:val="22"/>
        </w:rPr>
        <w:t>Μέτρια υποκλασματοποίηση</w:t>
      </w:r>
      <w:r w:rsidR="000209A8" w:rsidRPr="00D32416">
        <w:rPr>
          <w:rFonts w:asciiTheme="minorHAnsi" w:hAnsiTheme="minorHAnsi" w:cstheme="minorHAnsi"/>
          <w:color w:val="232323"/>
          <w:sz w:val="22"/>
          <w:szCs w:val="22"/>
        </w:rPr>
        <w:t>:</w:t>
      </w:r>
      <w:r w:rsidRPr="00D32416">
        <w:rPr>
          <w:rFonts w:asciiTheme="minorHAnsi" w:hAnsiTheme="minorHAnsi" w:cstheme="minorHAnsi"/>
          <w:color w:val="232323"/>
          <w:sz w:val="22"/>
          <w:szCs w:val="22"/>
        </w:rPr>
        <w:t xml:space="preserve"> Σε ασθενείς που δεν απαιτείται ακτινοβόληση των λεμφαδένων, προτείνεται η υποκλασματοποίηση</w:t>
      </w:r>
      <w:r w:rsidR="00057E7D"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rPr>
        <w:t xml:space="preserve">βάση των οδηγιών των εταιρειών </w:t>
      </w:r>
      <w:r w:rsidR="00057E7D" w:rsidRPr="00D32416">
        <w:rPr>
          <w:rFonts w:asciiTheme="minorHAnsi" w:hAnsiTheme="minorHAnsi" w:cstheme="minorHAnsi"/>
          <w:color w:val="232323"/>
          <w:sz w:val="22"/>
          <w:szCs w:val="22"/>
          <w:lang w:val="en-US"/>
        </w:rPr>
        <w:t>ASTRO</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ASCO</w:t>
      </w:r>
      <w:r w:rsidRPr="00D32416">
        <w:rPr>
          <w:rFonts w:asciiTheme="minorHAnsi" w:hAnsiTheme="minorHAnsi" w:cstheme="minorHAnsi"/>
          <w:color w:val="232323"/>
          <w:sz w:val="22"/>
          <w:szCs w:val="22"/>
        </w:rPr>
        <w:t xml:space="preserve"> και </w:t>
      </w:r>
      <w:r w:rsidR="00057E7D" w:rsidRPr="00D32416">
        <w:rPr>
          <w:rFonts w:asciiTheme="minorHAnsi" w:hAnsiTheme="minorHAnsi" w:cstheme="minorHAnsi"/>
          <w:color w:val="232323"/>
          <w:sz w:val="22"/>
          <w:szCs w:val="22"/>
          <w:lang w:val="en-US"/>
        </w:rPr>
        <w:t>AUA</w:t>
      </w:r>
      <w:r w:rsidR="00057E7D" w:rsidRPr="00D32416">
        <w:rPr>
          <w:rFonts w:asciiTheme="minorHAnsi" w:hAnsiTheme="minorHAnsi" w:cstheme="minorHAnsi"/>
          <w:color w:val="232323"/>
          <w:sz w:val="22"/>
          <w:szCs w:val="22"/>
        </w:rPr>
        <w:t xml:space="preserve"> [14</w:t>
      </w:r>
      <w:r w:rsidR="00892E74" w:rsidRPr="00D32416">
        <w:rPr>
          <w:rFonts w:asciiTheme="minorHAnsi" w:hAnsiTheme="minorHAnsi" w:cstheme="minorHAnsi"/>
          <w:color w:val="232323"/>
          <w:sz w:val="22"/>
          <w:szCs w:val="22"/>
        </w:rPr>
        <w:t>, 26</w:t>
      </w:r>
      <w:r w:rsidR="00057E7D" w:rsidRPr="00D32416">
        <w:rPr>
          <w:rFonts w:asciiTheme="minorHAnsi" w:hAnsiTheme="minorHAnsi" w:cstheme="minorHAnsi"/>
          <w:color w:val="232323"/>
          <w:sz w:val="22"/>
          <w:szCs w:val="22"/>
        </w:rPr>
        <w:t xml:space="preserve">]. </w:t>
      </w:r>
      <w:r w:rsidRPr="00D32416">
        <w:rPr>
          <w:rFonts w:asciiTheme="minorHAnsi" w:hAnsiTheme="minorHAnsi" w:cstheme="minorHAnsi"/>
          <w:b/>
          <w:color w:val="232323"/>
          <w:sz w:val="22"/>
          <w:szCs w:val="22"/>
        </w:rPr>
        <w:t xml:space="preserve"> </w:t>
      </w:r>
      <w:r w:rsidRPr="00D32416">
        <w:rPr>
          <w:rFonts w:asciiTheme="minorHAnsi" w:hAnsiTheme="minorHAnsi" w:cstheme="minorHAnsi"/>
          <w:color w:val="232323"/>
          <w:sz w:val="22"/>
          <w:szCs w:val="22"/>
        </w:rPr>
        <w:t xml:space="preserve">Μπορεί να εμφανισθεί μικρή αύξηση </w:t>
      </w:r>
      <w:r w:rsidR="00DD06A3" w:rsidRPr="00D32416">
        <w:rPr>
          <w:rFonts w:asciiTheme="minorHAnsi" w:hAnsiTheme="minorHAnsi" w:cstheme="minorHAnsi"/>
          <w:color w:val="232323"/>
          <w:sz w:val="22"/>
          <w:szCs w:val="22"/>
        </w:rPr>
        <w:t>της</w:t>
      </w:r>
      <w:r w:rsidRPr="00D32416">
        <w:rPr>
          <w:rFonts w:asciiTheme="minorHAnsi" w:hAnsiTheme="minorHAnsi" w:cstheme="minorHAnsi"/>
          <w:color w:val="232323"/>
          <w:sz w:val="22"/>
          <w:szCs w:val="22"/>
        </w:rPr>
        <w:t xml:space="preserve"> </w:t>
      </w:r>
      <w:r w:rsidR="00DD06A3" w:rsidRPr="00D32416">
        <w:rPr>
          <w:rFonts w:asciiTheme="minorHAnsi" w:hAnsiTheme="minorHAnsi" w:cstheme="minorHAnsi"/>
          <w:color w:val="232323"/>
          <w:sz w:val="22"/>
          <w:szCs w:val="22"/>
        </w:rPr>
        <w:t>τοξικότητας του γαστρεντερικού</w:t>
      </w:r>
      <w:r w:rsidRPr="00D32416">
        <w:rPr>
          <w:rFonts w:asciiTheme="minorHAnsi" w:hAnsiTheme="minorHAnsi" w:cstheme="minorHAnsi"/>
          <w:color w:val="232323"/>
          <w:sz w:val="22"/>
          <w:szCs w:val="22"/>
        </w:rPr>
        <w:t xml:space="preserve"> </w:t>
      </w:r>
      <w:r w:rsidR="00DD06A3" w:rsidRPr="00D32416">
        <w:rPr>
          <w:rFonts w:asciiTheme="minorHAnsi" w:hAnsiTheme="minorHAnsi" w:cstheme="minorHAnsi"/>
          <w:color w:val="232323"/>
          <w:sz w:val="22"/>
          <w:szCs w:val="22"/>
        </w:rPr>
        <w:t xml:space="preserve">και </w:t>
      </w:r>
      <w:r w:rsidRPr="00D32416">
        <w:rPr>
          <w:rFonts w:asciiTheme="minorHAnsi" w:hAnsiTheme="minorHAnsi" w:cstheme="minorHAnsi"/>
          <w:color w:val="232323"/>
          <w:sz w:val="22"/>
          <w:szCs w:val="22"/>
        </w:rPr>
        <w:t>του ουροποιητικού</w:t>
      </w:r>
      <w:r w:rsidR="00057E7D" w:rsidRPr="00D32416">
        <w:rPr>
          <w:rFonts w:asciiTheme="minorHAnsi" w:hAnsiTheme="minorHAnsi" w:cstheme="minorHAnsi"/>
          <w:color w:val="232323"/>
          <w:sz w:val="22"/>
          <w:szCs w:val="22"/>
        </w:rPr>
        <w:t xml:space="preserve"> </w:t>
      </w:r>
      <w:r w:rsidR="00F73D3E" w:rsidRPr="00D32416">
        <w:rPr>
          <w:rFonts w:asciiTheme="minorHAnsi" w:hAnsiTheme="minorHAnsi" w:cstheme="minorHAnsi"/>
          <w:color w:val="232323"/>
          <w:sz w:val="22"/>
          <w:szCs w:val="22"/>
        </w:rPr>
        <w:t>[35</w:t>
      </w:r>
      <w:r w:rsidR="00057E7D" w:rsidRPr="00D32416">
        <w:rPr>
          <w:rFonts w:asciiTheme="minorHAnsi" w:hAnsiTheme="minorHAnsi" w:cstheme="minorHAnsi"/>
          <w:color w:val="232323"/>
          <w:sz w:val="22"/>
          <w:szCs w:val="22"/>
        </w:rPr>
        <w:t>].</w:t>
      </w:r>
      <w:r w:rsidR="00057E7D" w:rsidRPr="00D32416">
        <w:rPr>
          <w:rFonts w:asciiTheme="minorHAnsi" w:hAnsiTheme="minorHAnsi" w:cstheme="minorHAnsi"/>
          <w:b/>
          <w:color w:val="232323"/>
          <w:sz w:val="22"/>
          <w:szCs w:val="22"/>
        </w:rPr>
        <w:t xml:space="preserve"> </w:t>
      </w:r>
      <w:r w:rsidR="00DD06A3" w:rsidRPr="00D32416">
        <w:rPr>
          <w:rFonts w:asciiTheme="minorHAnsi" w:hAnsiTheme="minorHAnsi" w:cstheme="minorHAnsi"/>
          <w:color w:val="232323"/>
          <w:sz w:val="22"/>
          <w:szCs w:val="22"/>
        </w:rPr>
        <w:t xml:space="preserve">Ενώ ο βαθμός οξείας τοξικότητας είναι παρόμοιος, υπάρχουν περιορισμένα δεδομένα που αφορούν την απώτερη τοξικότητα. Υπάρχει μικρό </w:t>
      </w:r>
      <w:r w:rsidR="00057E7D" w:rsidRPr="00D32416">
        <w:rPr>
          <w:rFonts w:asciiTheme="minorHAnsi" w:hAnsiTheme="minorHAnsi" w:cstheme="minorHAnsi"/>
          <w:color w:val="232323"/>
          <w:sz w:val="22"/>
          <w:szCs w:val="22"/>
          <w:lang w:val="en-US"/>
        </w:rPr>
        <w:t>follow</w:t>
      </w:r>
      <w:r w:rsidR="00057E7D"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lang w:val="en-US"/>
        </w:rPr>
        <w:t>up</w:t>
      </w:r>
      <w:r w:rsidR="00057E7D" w:rsidRPr="00D32416">
        <w:rPr>
          <w:rFonts w:asciiTheme="minorHAnsi" w:hAnsiTheme="minorHAnsi" w:cstheme="minorHAnsi"/>
          <w:color w:val="232323"/>
          <w:sz w:val="22"/>
          <w:szCs w:val="22"/>
        </w:rPr>
        <w:t xml:space="preserve"> </w:t>
      </w:r>
      <w:r w:rsidR="00DD06A3" w:rsidRPr="00D32416">
        <w:rPr>
          <w:rFonts w:asciiTheme="minorHAnsi" w:hAnsiTheme="minorHAnsi" w:cstheme="minorHAnsi"/>
          <w:color w:val="232323"/>
          <w:sz w:val="22"/>
          <w:szCs w:val="22"/>
        </w:rPr>
        <w:t>πέραν της 5ετίας για τις περισσότερες τυχαιοποιημένες μελέτες. Η βέλτιστη κλασ</w:t>
      </w:r>
      <w:r w:rsidR="005F60C2" w:rsidRPr="00D32416">
        <w:rPr>
          <w:rFonts w:asciiTheme="minorHAnsi" w:hAnsiTheme="minorHAnsi" w:cstheme="minorHAnsi"/>
          <w:color w:val="232323"/>
          <w:sz w:val="22"/>
          <w:szCs w:val="22"/>
        </w:rPr>
        <w:t>ματοποίηση δεν έχει ακόμη καθορισθεί. Οι κατευθυντήριες οδηγίες των εταιρειών</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AUA</w:t>
      </w:r>
      <w:r w:rsidR="00057E7D"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lang w:val="en-US"/>
        </w:rPr>
        <w:t>ASTRO</w:t>
      </w:r>
      <w:r w:rsidR="00057E7D"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lang w:val="en-US"/>
        </w:rPr>
        <w:t>ASCO</w:t>
      </w:r>
      <w:r w:rsidR="00057E7D" w:rsidRPr="00D32416">
        <w:rPr>
          <w:rFonts w:asciiTheme="minorHAnsi" w:hAnsiTheme="minorHAnsi" w:cstheme="minorHAnsi"/>
          <w:color w:val="232323"/>
          <w:sz w:val="22"/>
          <w:szCs w:val="22"/>
        </w:rPr>
        <w:t xml:space="preserve"> </w:t>
      </w:r>
      <w:r w:rsidR="005F60C2" w:rsidRPr="00D32416">
        <w:rPr>
          <w:rFonts w:asciiTheme="minorHAnsi" w:hAnsiTheme="minorHAnsi" w:cstheme="minorHAnsi"/>
          <w:color w:val="232323"/>
          <w:sz w:val="22"/>
          <w:szCs w:val="22"/>
        </w:rPr>
        <w:t xml:space="preserve">συμπεριλαμβάνουν τα εξής σχήματα 60 </w:t>
      </w:r>
      <w:r w:rsidR="005F60C2" w:rsidRPr="00D32416">
        <w:rPr>
          <w:rFonts w:asciiTheme="minorHAnsi" w:hAnsiTheme="minorHAnsi" w:cstheme="minorHAnsi"/>
          <w:color w:val="232323"/>
          <w:sz w:val="22"/>
          <w:szCs w:val="22"/>
          <w:lang w:val="en-US"/>
        </w:rPr>
        <w:t>Gy</w:t>
      </w:r>
      <w:r w:rsidR="005F60C2" w:rsidRPr="00D32416">
        <w:rPr>
          <w:rFonts w:asciiTheme="minorHAnsi" w:hAnsiTheme="minorHAnsi" w:cstheme="minorHAnsi"/>
          <w:color w:val="232323"/>
          <w:sz w:val="22"/>
          <w:szCs w:val="22"/>
        </w:rPr>
        <w:t xml:space="preserve"> σε 20 συνεδρίες ή 70 </w:t>
      </w:r>
      <w:r w:rsidR="005F60C2" w:rsidRPr="00D32416">
        <w:rPr>
          <w:rFonts w:asciiTheme="minorHAnsi" w:hAnsiTheme="minorHAnsi" w:cstheme="minorHAnsi"/>
          <w:color w:val="232323"/>
          <w:sz w:val="22"/>
          <w:szCs w:val="22"/>
          <w:lang w:val="en-US"/>
        </w:rPr>
        <w:t>Gy</w:t>
      </w:r>
      <w:r w:rsidR="005F60C2" w:rsidRPr="00D32416">
        <w:rPr>
          <w:rFonts w:asciiTheme="minorHAnsi" w:hAnsiTheme="minorHAnsi" w:cstheme="minorHAnsi"/>
          <w:color w:val="232323"/>
          <w:sz w:val="22"/>
          <w:szCs w:val="22"/>
        </w:rPr>
        <w:t xml:space="preserve"> σε</w:t>
      </w:r>
      <w:r w:rsidR="00057E7D" w:rsidRPr="00D32416">
        <w:rPr>
          <w:rFonts w:asciiTheme="minorHAnsi" w:hAnsiTheme="minorHAnsi" w:cstheme="minorHAnsi"/>
          <w:color w:val="232323"/>
          <w:sz w:val="22"/>
          <w:szCs w:val="22"/>
        </w:rPr>
        <w:t xml:space="preserve"> 28 </w:t>
      </w:r>
      <w:r w:rsidR="005F60C2" w:rsidRPr="00D32416">
        <w:rPr>
          <w:rFonts w:asciiTheme="minorHAnsi" w:hAnsiTheme="minorHAnsi" w:cstheme="minorHAnsi"/>
          <w:color w:val="232323"/>
          <w:sz w:val="22"/>
          <w:szCs w:val="22"/>
        </w:rPr>
        <w:t xml:space="preserve">συνεδρίες, διότι αυτά τα σχήματα έχουν το μεγαλύτερο </w:t>
      </w:r>
      <w:r w:rsidR="005F60C2" w:rsidRPr="00D32416">
        <w:rPr>
          <w:rFonts w:asciiTheme="minorHAnsi" w:hAnsiTheme="minorHAnsi" w:cstheme="minorHAnsi"/>
          <w:color w:val="232323"/>
          <w:sz w:val="22"/>
          <w:szCs w:val="22"/>
          <w:lang w:val="en-US"/>
        </w:rPr>
        <w:t>evidence</w:t>
      </w:r>
      <w:r w:rsidR="00AA30CC" w:rsidRPr="00D32416">
        <w:rPr>
          <w:rFonts w:asciiTheme="minorHAnsi" w:hAnsiTheme="minorHAnsi" w:cstheme="minorHAnsi"/>
          <w:color w:val="232323"/>
          <w:sz w:val="22"/>
          <w:szCs w:val="22"/>
        </w:rPr>
        <w:t>[26</w:t>
      </w:r>
      <w:r w:rsidR="00057E7D" w:rsidRPr="00D32416">
        <w:rPr>
          <w:rFonts w:asciiTheme="minorHAnsi" w:hAnsiTheme="minorHAnsi" w:cstheme="minorHAnsi"/>
          <w:color w:val="232323"/>
          <w:sz w:val="22"/>
          <w:szCs w:val="22"/>
        </w:rPr>
        <w:t>].</w:t>
      </w:r>
      <w:r w:rsidR="00AA7231" w:rsidRPr="00D32416">
        <w:rPr>
          <w:rFonts w:asciiTheme="minorHAnsi" w:hAnsiTheme="minorHAnsi" w:cstheme="minorHAnsi"/>
          <w:color w:val="232323"/>
          <w:sz w:val="22"/>
          <w:szCs w:val="22"/>
        </w:rPr>
        <w:t xml:space="preserve"> </w:t>
      </w:r>
      <w:r w:rsidR="00892E74" w:rsidRPr="00D32416">
        <w:rPr>
          <w:rFonts w:asciiTheme="minorHAnsi" w:hAnsiTheme="minorHAnsi" w:cstheme="minorHAnsi"/>
          <w:color w:val="232323"/>
          <w:sz w:val="22"/>
          <w:szCs w:val="22"/>
        </w:rPr>
        <w:t xml:space="preserve"> </w:t>
      </w:r>
      <w:r w:rsidR="005F60C2" w:rsidRPr="00D32416">
        <w:rPr>
          <w:rFonts w:asciiTheme="minorHAnsi" w:hAnsiTheme="minorHAnsi" w:cstheme="minorHAnsi"/>
          <w:color w:val="232323"/>
          <w:sz w:val="22"/>
          <w:szCs w:val="22"/>
        </w:rPr>
        <w:t xml:space="preserve">Προκλινικά δεδομένα έχουν αποδείξει ότι ο καρκίνος του προστάτη </w:t>
      </w:r>
      <w:r w:rsidR="00AA7231" w:rsidRPr="00D32416">
        <w:rPr>
          <w:rFonts w:asciiTheme="minorHAnsi" w:hAnsiTheme="minorHAnsi" w:cstheme="minorHAnsi"/>
          <w:color w:val="232323"/>
          <w:sz w:val="22"/>
          <w:szCs w:val="22"/>
        </w:rPr>
        <w:t>ανταποκρίνεται καλύτερα στα μεγαλύτερα κλάσματα</w:t>
      </w:r>
      <w:r w:rsidR="00057E7D" w:rsidRPr="00D32416">
        <w:rPr>
          <w:rFonts w:asciiTheme="minorHAnsi" w:hAnsiTheme="minorHAnsi" w:cstheme="minorHAnsi"/>
          <w:color w:val="232323"/>
          <w:sz w:val="22"/>
          <w:szCs w:val="22"/>
        </w:rPr>
        <w:t xml:space="preserve"> </w:t>
      </w:r>
      <w:r w:rsidR="00AA30CC" w:rsidRPr="00D32416">
        <w:rPr>
          <w:rFonts w:asciiTheme="minorHAnsi" w:hAnsiTheme="minorHAnsi" w:cstheme="minorHAnsi"/>
          <w:color w:val="232323"/>
          <w:sz w:val="22"/>
          <w:szCs w:val="22"/>
        </w:rPr>
        <w:t>[36</w:t>
      </w:r>
      <w:r w:rsidR="00057E7D" w:rsidRPr="00D32416">
        <w:rPr>
          <w:rFonts w:asciiTheme="minorHAnsi" w:hAnsiTheme="minorHAnsi" w:cstheme="minorHAnsi"/>
          <w:color w:val="232323"/>
          <w:sz w:val="22"/>
          <w:szCs w:val="22"/>
        </w:rPr>
        <w:t>-</w:t>
      </w:r>
      <w:r w:rsidR="00AA30CC" w:rsidRPr="00D32416">
        <w:rPr>
          <w:rFonts w:asciiTheme="minorHAnsi" w:hAnsiTheme="minorHAnsi" w:cstheme="minorHAnsi"/>
          <w:color w:val="232323"/>
          <w:sz w:val="22"/>
          <w:szCs w:val="22"/>
        </w:rPr>
        <w:t>43</w:t>
      </w:r>
      <w:r w:rsidR="00057E7D" w:rsidRPr="00D32416">
        <w:rPr>
          <w:rFonts w:asciiTheme="minorHAnsi" w:hAnsiTheme="minorHAnsi" w:cstheme="minorHAnsi"/>
          <w:color w:val="232323"/>
          <w:sz w:val="22"/>
          <w:szCs w:val="22"/>
        </w:rPr>
        <w:t>].</w:t>
      </w:r>
    </w:p>
    <w:p w14:paraId="3A3B1C32" w14:textId="77777777" w:rsidR="00A66987" w:rsidRPr="00EF2861" w:rsidRDefault="00AA7231" w:rsidP="00D32416">
      <w:pPr>
        <w:pStyle w:val="headinganchor"/>
        <w:shd w:val="clear" w:color="auto" w:fill="FFFFFF"/>
        <w:spacing w:after="0" w:line="360" w:lineRule="auto"/>
        <w:rPr>
          <w:rFonts w:asciiTheme="minorHAnsi" w:hAnsiTheme="minorHAnsi" w:cstheme="minorHAnsi"/>
          <w:b/>
          <w:color w:val="232323"/>
          <w:sz w:val="22"/>
          <w:szCs w:val="22"/>
        </w:rPr>
      </w:pPr>
      <w:r w:rsidRPr="00D32416">
        <w:rPr>
          <w:rFonts w:asciiTheme="minorHAnsi" w:hAnsiTheme="minorHAnsi" w:cstheme="minorHAnsi"/>
          <w:i/>
          <w:color w:val="232323"/>
          <w:sz w:val="22"/>
          <w:szCs w:val="22"/>
        </w:rPr>
        <w:t>Στερεοτακτική ακτινοθεραπεία (</w:t>
      </w:r>
      <w:r w:rsidR="00057E7D" w:rsidRPr="00D32416">
        <w:rPr>
          <w:rFonts w:asciiTheme="minorHAnsi" w:hAnsiTheme="minorHAnsi" w:cstheme="minorHAnsi"/>
          <w:i/>
          <w:color w:val="232323"/>
          <w:sz w:val="22"/>
          <w:szCs w:val="22"/>
          <w:lang w:val="en-US"/>
        </w:rPr>
        <w:t>Stereotactic</w:t>
      </w:r>
      <w:r w:rsidR="00057E7D" w:rsidRPr="00D32416">
        <w:rPr>
          <w:rFonts w:asciiTheme="minorHAnsi" w:hAnsiTheme="minorHAnsi" w:cstheme="minorHAnsi"/>
          <w:i/>
          <w:color w:val="232323"/>
          <w:sz w:val="22"/>
          <w:szCs w:val="22"/>
        </w:rPr>
        <w:t xml:space="preserve"> </w:t>
      </w:r>
      <w:r w:rsidR="00057E7D" w:rsidRPr="00D32416">
        <w:rPr>
          <w:rFonts w:asciiTheme="minorHAnsi" w:hAnsiTheme="minorHAnsi" w:cstheme="minorHAnsi"/>
          <w:i/>
          <w:color w:val="232323"/>
          <w:sz w:val="22"/>
          <w:szCs w:val="22"/>
          <w:lang w:val="en-US"/>
        </w:rPr>
        <w:t>body</w:t>
      </w:r>
      <w:r w:rsidR="00057E7D" w:rsidRPr="00D32416">
        <w:rPr>
          <w:rFonts w:asciiTheme="minorHAnsi" w:hAnsiTheme="minorHAnsi" w:cstheme="minorHAnsi"/>
          <w:i/>
          <w:color w:val="232323"/>
          <w:sz w:val="22"/>
          <w:szCs w:val="22"/>
        </w:rPr>
        <w:t xml:space="preserve"> </w:t>
      </w:r>
      <w:r w:rsidR="00057E7D" w:rsidRPr="00D32416">
        <w:rPr>
          <w:rFonts w:asciiTheme="minorHAnsi" w:hAnsiTheme="minorHAnsi" w:cstheme="minorHAnsi"/>
          <w:i/>
          <w:color w:val="232323"/>
          <w:sz w:val="22"/>
          <w:szCs w:val="22"/>
          <w:lang w:val="en-US"/>
        </w:rPr>
        <w:t>radiation</w:t>
      </w:r>
      <w:r w:rsidR="00057E7D" w:rsidRPr="00D32416">
        <w:rPr>
          <w:rFonts w:asciiTheme="minorHAnsi" w:hAnsiTheme="minorHAnsi" w:cstheme="minorHAnsi"/>
          <w:i/>
          <w:color w:val="232323"/>
          <w:sz w:val="22"/>
          <w:szCs w:val="22"/>
        </w:rPr>
        <w:t xml:space="preserve"> </w:t>
      </w:r>
      <w:r w:rsidR="00057E7D" w:rsidRPr="00D32416">
        <w:rPr>
          <w:rFonts w:asciiTheme="minorHAnsi" w:hAnsiTheme="minorHAnsi" w:cstheme="minorHAnsi"/>
          <w:i/>
          <w:color w:val="232323"/>
          <w:sz w:val="22"/>
          <w:szCs w:val="22"/>
          <w:lang w:val="en-US"/>
        </w:rPr>
        <w:t>therapy</w:t>
      </w:r>
      <w:r w:rsidRPr="00D32416">
        <w:rPr>
          <w:rFonts w:asciiTheme="minorHAnsi" w:hAnsiTheme="minorHAnsi" w:cstheme="minorHAnsi"/>
          <w:i/>
          <w:color w:val="232323"/>
          <w:sz w:val="22"/>
          <w:szCs w:val="22"/>
        </w:rPr>
        <w:t>-</w:t>
      </w:r>
      <w:r w:rsidRPr="00D32416">
        <w:rPr>
          <w:rFonts w:asciiTheme="minorHAnsi" w:hAnsiTheme="minorHAnsi" w:cstheme="minorHAnsi"/>
          <w:i/>
          <w:color w:val="232323"/>
          <w:sz w:val="22"/>
          <w:szCs w:val="22"/>
          <w:lang w:val="en-US"/>
        </w:rPr>
        <w:t>SBRT</w:t>
      </w:r>
      <w:r w:rsidRPr="00D32416">
        <w:rPr>
          <w:rFonts w:asciiTheme="minorHAnsi" w:hAnsiTheme="minorHAnsi" w:cstheme="minorHAnsi"/>
          <w:i/>
          <w:color w:val="232323"/>
          <w:sz w:val="22"/>
          <w:szCs w:val="22"/>
        </w:rPr>
        <w:t>)</w:t>
      </w:r>
      <w:r w:rsidR="000209A8" w:rsidRPr="00D32416">
        <w:rPr>
          <w:rFonts w:asciiTheme="minorHAnsi" w:hAnsiTheme="minorHAnsi" w:cstheme="minorHAnsi"/>
          <w:i/>
          <w:color w:val="232323"/>
          <w:sz w:val="22"/>
          <w:szCs w:val="22"/>
        </w:rPr>
        <w:t>:</w:t>
      </w:r>
      <w:r w:rsidR="00057E7D" w:rsidRPr="00D32416">
        <w:rPr>
          <w:rFonts w:asciiTheme="minorHAnsi" w:hAnsiTheme="minorHAnsi" w:cstheme="minorHAnsi"/>
          <w:b/>
          <w:color w:val="232323"/>
          <w:sz w:val="22"/>
          <w:szCs w:val="22"/>
        </w:rPr>
        <w:t xml:space="preserve"> </w:t>
      </w:r>
      <w:r w:rsidRPr="00D32416">
        <w:rPr>
          <w:rFonts w:asciiTheme="minorHAnsi" w:hAnsiTheme="minorHAnsi" w:cstheme="minorHAnsi"/>
          <w:color w:val="232323"/>
          <w:sz w:val="22"/>
          <w:szCs w:val="22"/>
        </w:rPr>
        <w:t xml:space="preserve">Βάση των οδηγιών των </w:t>
      </w:r>
      <w:r w:rsidRPr="00D32416">
        <w:rPr>
          <w:rFonts w:asciiTheme="minorHAnsi" w:hAnsiTheme="minorHAnsi" w:cstheme="minorHAnsi"/>
          <w:color w:val="232323"/>
          <w:sz w:val="22"/>
          <w:szCs w:val="22"/>
          <w:lang w:val="en-US"/>
        </w:rPr>
        <w:t>NCCN</w:t>
      </w:r>
      <w:r w:rsidRPr="00D32416">
        <w:rPr>
          <w:rFonts w:asciiTheme="minorHAnsi" w:hAnsiTheme="minorHAnsi" w:cstheme="minorHAnsi"/>
          <w:color w:val="232323"/>
          <w:sz w:val="22"/>
          <w:szCs w:val="22"/>
        </w:rPr>
        <w:t xml:space="preserve"> </w:t>
      </w:r>
      <w:r w:rsidR="00AA30CC" w:rsidRPr="00D32416">
        <w:rPr>
          <w:rFonts w:asciiTheme="minorHAnsi" w:hAnsiTheme="minorHAnsi" w:cstheme="minorHAnsi"/>
          <w:color w:val="232323"/>
          <w:sz w:val="22"/>
          <w:szCs w:val="22"/>
        </w:rPr>
        <w:t>[11</w:t>
      </w:r>
      <w:r w:rsidRPr="00D32416">
        <w:rPr>
          <w:rFonts w:asciiTheme="minorHAnsi" w:hAnsiTheme="minorHAnsi" w:cstheme="minorHAnsi"/>
          <w:color w:val="232323"/>
          <w:sz w:val="22"/>
          <w:szCs w:val="22"/>
        </w:rPr>
        <w:t xml:space="preserve">], </w:t>
      </w:r>
      <w:r w:rsidRPr="00D32416">
        <w:rPr>
          <w:rFonts w:asciiTheme="minorHAnsi" w:hAnsiTheme="minorHAnsi" w:cstheme="minorHAnsi"/>
          <w:color w:val="232323"/>
          <w:sz w:val="22"/>
          <w:szCs w:val="22"/>
          <w:lang w:val="en-US"/>
        </w:rPr>
        <w:t>ASTRO</w:t>
      </w:r>
      <w:r w:rsidRPr="00D32416">
        <w:rPr>
          <w:rFonts w:asciiTheme="minorHAnsi" w:hAnsiTheme="minorHAnsi" w:cstheme="minorHAnsi"/>
          <w:color w:val="232323"/>
          <w:sz w:val="22"/>
          <w:szCs w:val="22"/>
        </w:rPr>
        <w:t>/</w:t>
      </w:r>
      <w:r w:rsidRPr="00D32416">
        <w:rPr>
          <w:rFonts w:asciiTheme="minorHAnsi" w:hAnsiTheme="minorHAnsi" w:cstheme="minorHAnsi"/>
          <w:color w:val="232323"/>
          <w:sz w:val="22"/>
          <w:szCs w:val="22"/>
          <w:lang w:val="en-US"/>
        </w:rPr>
        <w:t>ASCO</w:t>
      </w:r>
      <w:r w:rsidRPr="00D32416">
        <w:rPr>
          <w:rFonts w:asciiTheme="minorHAnsi" w:hAnsiTheme="minorHAnsi" w:cstheme="minorHAnsi"/>
          <w:color w:val="232323"/>
          <w:sz w:val="22"/>
          <w:szCs w:val="22"/>
        </w:rPr>
        <w:t>/</w:t>
      </w:r>
      <w:r w:rsidRPr="00D32416">
        <w:rPr>
          <w:rFonts w:asciiTheme="minorHAnsi" w:hAnsiTheme="minorHAnsi" w:cstheme="minorHAnsi"/>
          <w:color w:val="232323"/>
          <w:sz w:val="22"/>
          <w:szCs w:val="22"/>
          <w:lang w:val="en-US"/>
        </w:rPr>
        <w:t>AUA</w:t>
      </w:r>
      <w:r w:rsidRPr="00D32416">
        <w:rPr>
          <w:rFonts w:asciiTheme="minorHAnsi" w:hAnsiTheme="minorHAnsi" w:cstheme="minorHAnsi"/>
          <w:color w:val="232323"/>
          <w:sz w:val="22"/>
          <w:szCs w:val="22"/>
        </w:rPr>
        <w:t xml:space="preserve"> </w:t>
      </w:r>
      <w:r w:rsidR="00AA30CC" w:rsidRPr="00D32416">
        <w:rPr>
          <w:rFonts w:asciiTheme="minorHAnsi" w:hAnsiTheme="minorHAnsi" w:cstheme="minorHAnsi"/>
          <w:color w:val="232323"/>
          <w:sz w:val="22"/>
          <w:szCs w:val="22"/>
        </w:rPr>
        <w:t>[11</w:t>
      </w:r>
      <w:r w:rsidRPr="00D32416">
        <w:rPr>
          <w:rFonts w:asciiTheme="minorHAnsi" w:hAnsiTheme="minorHAnsi" w:cstheme="minorHAnsi"/>
          <w:color w:val="232323"/>
          <w:sz w:val="22"/>
          <w:szCs w:val="22"/>
        </w:rPr>
        <w:t xml:space="preserve">], η </w:t>
      </w:r>
      <w:r w:rsidRPr="00D32416">
        <w:rPr>
          <w:rFonts w:asciiTheme="minorHAnsi" w:hAnsiTheme="minorHAnsi" w:cstheme="minorHAnsi"/>
          <w:color w:val="232323"/>
          <w:sz w:val="22"/>
          <w:szCs w:val="22"/>
          <w:lang w:val="en-US"/>
        </w:rPr>
        <w:t>SBRT</w:t>
      </w:r>
      <w:r w:rsidRPr="00D32416">
        <w:rPr>
          <w:rFonts w:asciiTheme="minorHAnsi" w:hAnsiTheme="minorHAnsi" w:cstheme="minorHAnsi"/>
          <w:color w:val="232323"/>
          <w:sz w:val="22"/>
          <w:szCs w:val="22"/>
        </w:rPr>
        <w:t xml:space="preserve"> αποτελεί μια εναλλακτική τεχνική της συμβατικής κλασματοποιημένης ακτινοθεραπείας, σε καλά επιλεγμένα περιστατικά χαμηλού ή ενδιαμέσου κινδύνου, που δεν χρειάζονται ακτινοθεραπεία λεμφαδένων</w:t>
      </w:r>
      <w:r w:rsidR="00F54A64" w:rsidRPr="00D32416">
        <w:rPr>
          <w:rFonts w:asciiTheme="minorHAnsi" w:hAnsiTheme="minorHAnsi" w:cstheme="minorHAnsi"/>
          <w:color w:val="232323"/>
          <w:sz w:val="22"/>
          <w:szCs w:val="22"/>
        </w:rPr>
        <w:t xml:space="preserve"> [44-49]</w:t>
      </w:r>
      <w:r w:rsidRPr="00D32416">
        <w:rPr>
          <w:rFonts w:asciiTheme="minorHAnsi" w:hAnsiTheme="minorHAnsi" w:cstheme="minorHAnsi"/>
          <w:color w:val="232323"/>
          <w:sz w:val="22"/>
          <w:szCs w:val="22"/>
        </w:rPr>
        <w:t>.</w:t>
      </w:r>
      <w:r w:rsidR="00892E74" w:rsidRPr="00D32416">
        <w:rPr>
          <w:rFonts w:asciiTheme="minorHAnsi" w:hAnsiTheme="minorHAnsi" w:cstheme="minorHAnsi"/>
          <w:color w:val="232323"/>
          <w:sz w:val="22"/>
          <w:szCs w:val="22"/>
        </w:rPr>
        <w:t xml:space="preserve"> </w:t>
      </w:r>
      <w:r w:rsidR="00425D8B" w:rsidRPr="00D32416">
        <w:rPr>
          <w:rFonts w:asciiTheme="minorHAnsi" w:hAnsiTheme="minorHAnsi" w:cstheme="minorHAnsi"/>
          <w:color w:val="232323"/>
          <w:sz w:val="22"/>
          <w:szCs w:val="22"/>
        </w:rPr>
        <w:t>Εφαρμόζεται υπερ-υποκλασματοποίηση (</w:t>
      </w:r>
      <w:r w:rsidR="00425D8B" w:rsidRPr="00D32416">
        <w:rPr>
          <w:rFonts w:asciiTheme="minorHAnsi" w:hAnsiTheme="minorHAnsi" w:cstheme="minorHAnsi"/>
          <w:color w:val="232323"/>
          <w:sz w:val="22"/>
          <w:szCs w:val="22"/>
          <w:lang w:val="en-US"/>
        </w:rPr>
        <w:t>ultrahypofractionation</w:t>
      </w:r>
      <w:r w:rsidR="00425D8B" w:rsidRPr="00D32416">
        <w:rPr>
          <w:rFonts w:asciiTheme="minorHAnsi" w:hAnsiTheme="minorHAnsi" w:cstheme="minorHAnsi"/>
          <w:color w:val="232323"/>
          <w:sz w:val="22"/>
          <w:szCs w:val="22"/>
        </w:rPr>
        <w:t xml:space="preserve">) και η ακτινοθεραπεία </w:t>
      </w:r>
      <w:r w:rsidR="00425D8B" w:rsidRPr="00D32416">
        <w:rPr>
          <w:rFonts w:asciiTheme="minorHAnsi" w:hAnsiTheme="minorHAnsi" w:cstheme="minorHAnsi"/>
          <w:color w:val="232323"/>
          <w:sz w:val="22"/>
          <w:szCs w:val="22"/>
        </w:rPr>
        <w:lastRenderedPageBreak/>
        <w:t>χορηγείται σε ≤ 5 συνεδρίες ως μονοθεραπεία</w:t>
      </w:r>
      <w:r w:rsidR="00057E7D" w:rsidRPr="00D32416">
        <w:rPr>
          <w:rFonts w:asciiTheme="minorHAnsi" w:hAnsiTheme="minorHAnsi" w:cstheme="minorHAnsi"/>
          <w:color w:val="232323"/>
          <w:sz w:val="22"/>
          <w:szCs w:val="22"/>
        </w:rPr>
        <w:t xml:space="preserve">, </w:t>
      </w:r>
      <w:r w:rsidR="00425D8B" w:rsidRPr="00D32416">
        <w:rPr>
          <w:rFonts w:asciiTheme="minorHAnsi" w:hAnsiTheme="minorHAnsi" w:cstheme="minorHAnsi"/>
          <w:color w:val="232323"/>
          <w:sz w:val="22"/>
          <w:szCs w:val="22"/>
        </w:rPr>
        <w:t xml:space="preserve">ή σε 2 κλάσματα ως </w:t>
      </w:r>
      <w:r w:rsidR="00057E7D" w:rsidRPr="00D32416">
        <w:rPr>
          <w:rFonts w:asciiTheme="minorHAnsi" w:hAnsiTheme="minorHAnsi" w:cstheme="minorHAnsi"/>
          <w:color w:val="232323"/>
          <w:sz w:val="22"/>
          <w:szCs w:val="22"/>
          <w:lang w:val="en-US"/>
        </w:rPr>
        <w:t>boost</w:t>
      </w:r>
      <w:r w:rsidR="00057E7D" w:rsidRPr="00D32416">
        <w:rPr>
          <w:rFonts w:asciiTheme="minorHAnsi" w:hAnsiTheme="minorHAnsi" w:cstheme="minorHAnsi"/>
          <w:color w:val="232323"/>
          <w:sz w:val="22"/>
          <w:szCs w:val="22"/>
        </w:rPr>
        <w:t xml:space="preserve">. </w:t>
      </w:r>
      <w:r w:rsidR="00425D8B" w:rsidRPr="00D32416">
        <w:rPr>
          <w:rFonts w:asciiTheme="minorHAnsi" w:hAnsiTheme="minorHAnsi" w:cstheme="minorHAnsi"/>
          <w:color w:val="232323"/>
          <w:sz w:val="22"/>
          <w:szCs w:val="22"/>
        </w:rPr>
        <w:t>Αυτή η τεχνική μπορεί να φανεί ιδιαίτερα χρήσιμη σε ασθενείς που μένουν μακριά από το ακτινοθεραπευτικό τμήμα.</w:t>
      </w:r>
      <w:r w:rsidR="00425D8B" w:rsidRPr="00D32416">
        <w:rPr>
          <w:rFonts w:asciiTheme="minorHAnsi" w:hAnsiTheme="minorHAnsi" w:cstheme="minorHAnsi"/>
          <w:b/>
          <w:color w:val="232323"/>
          <w:sz w:val="22"/>
          <w:szCs w:val="22"/>
        </w:rPr>
        <w:t xml:space="preserve"> </w:t>
      </w:r>
    </w:p>
    <w:p w14:paraId="08B56E0E" w14:textId="77777777" w:rsidR="00D32416" w:rsidRDefault="00AE2EE1" w:rsidP="00D32416">
      <w:pPr>
        <w:pStyle w:val="headinganchor"/>
        <w:shd w:val="clear" w:color="auto" w:fill="FFFFFF"/>
        <w:spacing w:after="0" w:line="360" w:lineRule="auto"/>
        <w:ind w:firstLine="720"/>
        <w:rPr>
          <w:rFonts w:asciiTheme="minorHAnsi" w:hAnsiTheme="minorHAnsi" w:cstheme="minorHAnsi"/>
          <w:color w:val="232323"/>
          <w:sz w:val="22"/>
          <w:szCs w:val="22"/>
        </w:rPr>
      </w:pPr>
      <w:r w:rsidRPr="00D32416">
        <w:rPr>
          <w:rFonts w:asciiTheme="minorHAnsi" w:hAnsiTheme="minorHAnsi" w:cstheme="minorHAnsi"/>
          <w:color w:val="232323"/>
          <w:sz w:val="22"/>
          <w:szCs w:val="22"/>
        </w:rPr>
        <w:t xml:space="preserve">Μια συστηματική ανασκόπηση που συμπεριέλαβε </w:t>
      </w:r>
      <w:r w:rsidR="00A66987" w:rsidRPr="00D32416">
        <w:rPr>
          <w:rFonts w:asciiTheme="minorHAnsi" w:hAnsiTheme="minorHAnsi" w:cstheme="minorHAnsi"/>
          <w:color w:val="232323"/>
          <w:sz w:val="22"/>
          <w:szCs w:val="22"/>
        </w:rPr>
        <w:t xml:space="preserve">38 μελέτες που εφάρμοσαν την </w:t>
      </w:r>
      <w:r w:rsidR="00057E7D" w:rsidRPr="00D32416">
        <w:rPr>
          <w:rFonts w:asciiTheme="minorHAnsi" w:hAnsiTheme="minorHAnsi" w:cstheme="minorHAnsi"/>
          <w:color w:val="232323"/>
          <w:sz w:val="22"/>
          <w:szCs w:val="22"/>
          <w:lang w:val="en-US"/>
        </w:rPr>
        <w:t>SBRT</w:t>
      </w:r>
      <w:r w:rsidR="00057E7D" w:rsidRPr="00D32416">
        <w:rPr>
          <w:rFonts w:asciiTheme="minorHAnsi" w:hAnsiTheme="minorHAnsi" w:cstheme="minorHAnsi"/>
          <w:color w:val="232323"/>
          <w:sz w:val="22"/>
          <w:szCs w:val="22"/>
        </w:rPr>
        <w:t xml:space="preserve"> </w:t>
      </w:r>
      <w:r w:rsidR="00A66987" w:rsidRPr="00D32416">
        <w:rPr>
          <w:rFonts w:asciiTheme="minorHAnsi" w:hAnsiTheme="minorHAnsi" w:cstheme="minorHAnsi"/>
          <w:color w:val="232323"/>
          <w:sz w:val="22"/>
          <w:szCs w:val="22"/>
        </w:rPr>
        <w:t xml:space="preserve">σε 6116 ασθενείς με εντοπισμένο καρκίνο του προστάτη, είχε ενδιάμεση παρακολούθηση </w:t>
      </w:r>
      <w:r w:rsidR="00057E7D" w:rsidRPr="00D32416">
        <w:rPr>
          <w:rFonts w:asciiTheme="minorHAnsi" w:hAnsiTheme="minorHAnsi" w:cstheme="minorHAnsi"/>
          <w:color w:val="232323"/>
          <w:sz w:val="22"/>
          <w:szCs w:val="22"/>
        </w:rPr>
        <w:t xml:space="preserve">39 </w:t>
      </w:r>
      <w:r w:rsidR="00A66987" w:rsidRPr="00D32416">
        <w:rPr>
          <w:rFonts w:asciiTheme="minorHAnsi" w:hAnsiTheme="minorHAnsi" w:cstheme="minorHAnsi"/>
          <w:color w:val="232323"/>
          <w:sz w:val="22"/>
          <w:szCs w:val="22"/>
        </w:rPr>
        <w:t>μήνες</w:t>
      </w:r>
      <w:r w:rsidR="00057E7D" w:rsidRPr="00D32416">
        <w:rPr>
          <w:rFonts w:asciiTheme="minorHAnsi" w:hAnsiTheme="minorHAnsi" w:cstheme="minorHAnsi"/>
          <w:color w:val="232323"/>
          <w:sz w:val="22"/>
          <w:szCs w:val="22"/>
        </w:rPr>
        <w:t xml:space="preserve"> </w:t>
      </w:r>
      <w:r w:rsidR="00F54A64" w:rsidRPr="00D32416">
        <w:rPr>
          <w:rFonts w:asciiTheme="minorHAnsi" w:hAnsiTheme="minorHAnsi" w:cstheme="minorHAnsi"/>
          <w:color w:val="232323"/>
          <w:sz w:val="22"/>
          <w:szCs w:val="22"/>
        </w:rPr>
        <w:t>[47</w:t>
      </w:r>
      <w:r w:rsidR="00057E7D" w:rsidRPr="00D32416">
        <w:rPr>
          <w:rFonts w:asciiTheme="minorHAnsi" w:hAnsiTheme="minorHAnsi" w:cstheme="minorHAnsi"/>
          <w:color w:val="232323"/>
          <w:sz w:val="22"/>
          <w:szCs w:val="22"/>
        </w:rPr>
        <w:t xml:space="preserve">]. </w:t>
      </w:r>
      <w:r w:rsidR="00A66987" w:rsidRPr="00D32416">
        <w:rPr>
          <w:rFonts w:asciiTheme="minorHAnsi" w:hAnsiTheme="minorHAnsi" w:cstheme="minorHAnsi"/>
          <w:color w:val="232323"/>
          <w:sz w:val="22"/>
          <w:szCs w:val="22"/>
        </w:rPr>
        <w:t>Μια μετα</w:t>
      </w:r>
      <w:r w:rsidR="00BC4615">
        <w:rPr>
          <w:rFonts w:asciiTheme="minorHAnsi" w:hAnsiTheme="minorHAnsi" w:cstheme="minorHAnsi"/>
          <w:color w:val="232323"/>
          <w:sz w:val="22"/>
          <w:szCs w:val="22"/>
        </w:rPr>
        <w:t>-α</w:t>
      </w:r>
      <w:r w:rsidR="00A66987" w:rsidRPr="00D32416">
        <w:rPr>
          <w:rFonts w:asciiTheme="minorHAnsi" w:hAnsiTheme="minorHAnsi" w:cstheme="minorHAnsi"/>
          <w:color w:val="232323"/>
          <w:sz w:val="22"/>
          <w:szCs w:val="22"/>
        </w:rPr>
        <w:t xml:space="preserve">νάλυση 14 μελετών, έδειξε διάστημα ελεύθερο βιοχημικής υποτροπής και συνολική 5-ετή επιβίωση </w:t>
      </w:r>
      <w:r w:rsidR="00057E7D" w:rsidRPr="00D32416">
        <w:rPr>
          <w:rFonts w:asciiTheme="minorHAnsi" w:hAnsiTheme="minorHAnsi" w:cstheme="minorHAnsi"/>
          <w:color w:val="232323"/>
          <w:sz w:val="22"/>
          <w:szCs w:val="22"/>
        </w:rPr>
        <w:t>95.4</w:t>
      </w:r>
      <w:r w:rsidR="00A66987"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rPr>
        <w:t xml:space="preserve"> (95% </w:t>
      </w:r>
      <w:r w:rsidR="00057E7D" w:rsidRPr="00D32416">
        <w:rPr>
          <w:rFonts w:asciiTheme="minorHAnsi" w:hAnsiTheme="minorHAnsi" w:cstheme="minorHAnsi"/>
          <w:color w:val="232323"/>
          <w:sz w:val="22"/>
          <w:szCs w:val="22"/>
          <w:lang w:val="en-US"/>
        </w:rPr>
        <w:t>CI</w:t>
      </w:r>
      <w:r w:rsidR="00057E7D" w:rsidRPr="00D32416">
        <w:rPr>
          <w:rFonts w:asciiTheme="minorHAnsi" w:hAnsiTheme="minorHAnsi" w:cstheme="minorHAnsi"/>
          <w:color w:val="232323"/>
          <w:sz w:val="22"/>
          <w:szCs w:val="22"/>
        </w:rPr>
        <w:t xml:space="preserve"> 91.3-97.5). </w:t>
      </w:r>
      <w:r w:rsidR="00A66987" w:rsidRPr="00D32416">
        <w:rPr>
          <w:rFonts w:asciiTheme="minorHAnsi" w:hAnsiTheme="minorHAnsi" w:cstheme="minorHAnsi"/>
          <w:color w:val="232323"/>
          <w:sz w:val="22"/>
          <w:szCs w:val="22"/>
        </w:rPr>
        <w:t xml:space="preserve">Οι μελέτες που συσχέτισαν τη συνολική επιβίωση, σύμφωνα με το </w:t>
      </w:r>
      <w:r w:rsidR="00A66987" w:rsidRPr="00D32416">
        <w:rPr>
          <w:rFonts w:asciiTheme="minorHAnsi" w:hAnsiTheme="minorHAnsi" w:cstheme="minorHAnsi"/>
          <w:color w:val="232323"/>
          <w:sz w:val="22"/>
          <w:szCs w:val="22"/>
          <w:lang w:val="en-US"/>
        </w:rPr>
        <w:t>NCCN</w:t>
      </w:r>
      <w:r w:rsidR="00A66987"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risk</w:t>
      </w:r>
      <w:r w:rsidR="00057E7D" w:rsidRPr="00D32416">
        <w:rPr>
          <w:rFonts w:asciiTheme="minorHAnsi" w:hAnsiTheme="minorHAnsi" w:cstheme="minorHAnsi"/>
          <w:color w:val="232323"/>
          <w:sz w:val="22"/>
          <w:szCs w:val="22"/>
        </w:rPr>
        <w:t xml:space="preserve"> </w:t>
      </w:r>
      <w:r w:rsidR="00057E7D" w:rsidRPr="00D32416">
        <w:rPr>
          <w:rFonts w:asciiTheme="minorHAnsi" w:hAnsiTheme="minorHAnsi" w:cstheme="minorHAnsi"/>
          <w:color w:val="232323"/>
          <w:sz w:val="22"/>
          <w:szCs w:val="22"/>
          <w:lang w:val="en-US"/>
        </w:rPr>
        <w:t>group</w:t>
      </w:r>
      <w:r w:rsidR="00057E7D" w:rsidRPr="00D32416">
        <w:rPr>
          <w:rFonts w:asciiTheme="minorHAnsi" w:hAnsiTheme="minorHAnsi" w:cstheme="minorHAnsi"/>
          <w:color w:val="232323"/>
          <w:sz w:val="22"/>
          <w:szCs w:val="22"/>
        </w:rPr>
        <w:t xml:space="preserve">, </w:t>
      </w:r>
      <w:r w:rsidR="00A66987" w:rsidRPr="00D32416">
        <w:rPr>
          <w:rFonts w:asciiTheme="minorHAnsi" w:hAnsiTheme="minorHAnsi" w:cstheme="minorHAnsi"/>
          <w:color w:val="232323"/>
          <w:sz w:val="22"/>
          <w:szCs w:val="22"/>
        </w:rPr>
        <w:t>έδειξαν 5-ετές διάστημα ελεύθερο βιοχημικής υποτροπής σε χαμηλού και ενδιαμέσου κινδύνου</w:t>
      </w:r>
      <w:r w:rsidR="007B45BE" w:rsidRPr="00D32416">
        <w:rPr>
          <w:rFonts w:asciiTheme="minorHAnsi" w:hAnsiTheme="minorHAnsi" w:cstheme="minorHAnsi"/>
          <w:color w:val="232323"/>
          <w:sz w:val="22"/>
          <w:szCs w:val="22"/>
        </w:rPr>
        <w:t xml:space="preserve"> ίσο με </w:t>
      </w:r>
      <w:r w:rsidR="00057E7D" w:rsidRPr="00D32416">
        <w:rPr>
          <w:rFonts w:asciiTheme="minorHAnsi" w:hAnsiTheme="minorHAnsi" w:cstheme="minorHAnsi"/>
          <w:color w:val="232323"/>
          <w:sz w:val="22"/>
          <w:szCs w:val="22"/>
        </w:rPr>
        <w:t xml:space="preserve"> 96.7</w:t>
      </w:r>
      <w:r w:rsidR="007B45BE"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rPr>
        <w:t xml:space="preserve"> (95% </w:t>
      </w:r>
      <w:r w:rsidR="00057E7D" w:rsidRPr="00D32416">
        <w:rPr>
          <w:rFonts w:asciiTheme="minorHAnsi" w:hAnsiTheme="minorHAnsi" w:cstheme="minorHAnsi"/>
          <w:color w:val="232323"/>
          <w:sz w:val="22"/>
          <w:szCs w:val="22"/>
          <w:lang w:val="en-US"/>
        </w:rPr>
        <w:t>CI</w:t>
      </w:r>
      <w:r w:rsidR="00057E7D" w:rsidRPr="00D32416">
        <w:rPr>
          <w:rFonts w:asciiTheme="minorHAnsi" w:hAnsiTheme="minorHAnsi" w:cstheme="minorHAnsi"/>
          <w:color w:val="232323"/>
          <w:sz w:val="22"/>
          <w:szCs w:val="22"/>
        </w:rPr>
        <w:t xml:space="preserve"> 95.2-97.8) </w:t>
      </w:r>
      <w:r w:rsidR="007B45BE" w:rsidRPr="00D32416">
        <w:rPr>
          <w:rFonts w:asciiTheme="minorHAnsi" w:hAnsiTheme="minorHAnsi" w:cstheme="minorHAnsi"/>
          <w:color w:val="232323"/>
          <w:sz w:val="22"/>
          <w:szCs w:val="22"/>
        </w:rPr>
        <w:t xml:space="preserve">και </w:t>
      </w:r>
      <w:r w:rsidR="00057E7D" w:rsidRPr="00D32416">
        <w:rPr>
          <w:rFonts w:asciiTheme="minorHAnsi" w:hAnsiTheme="minorHAnsi" w:cstheme="minorHAnsi"/>
          <w:color w:val="232323"/>
          <w:sz w:val="22"/>
          <w:szCs w:val="22"/>
        </w:rPr>
        <w:t>92.1</w:t>
      </w:r>
      <w:r w:rsidR="007B45BE" w:rsidRPr="00D32416">
        <w:rPr>
          <w:rFonts w:asciiTheme="minorHAnsi" w:hAnsiTheme="minorHAnsi" w:cstheme="minorHAnsi"/>
          <w:color w:val="232323"/>
          <w:sz w:val="22"/>
          <w:szCs w:val="22"/>
        </w:rPr>
        <w:t>%</w:t>
      </w:r>
      <w:r w:rsidR="00057E7D" w:rsidRPr="00D32416">
        <w:rPr>
          <w:rFonts w:asciiTheme="minorHAnsi" w:hAnsiTheme="minorHAnsi" w:cstheme="minorHAnsi"/>
          <w:color w:val="232323"/>
          <w:sz w:val="22"/>
          <w:szCs w:val="22"/>
        </w:rPr>
        <w:t xml:space="preserve"> (95% </w:t>
      </w:r>
      <w:r w:rsidR="00057E7D" w:rsidRPr="00D32416">
        <w:rPr>
          <w:rFonts w:asciiTheme="minorHAnsi" w:hAnsiTheme="minorHAnsi" w:cstheme="minorHAnsi"/>
          <w:color w:val="232323"/>
          <w:sz w:val="22"/>
          <w:szCs w:val="22"/>
          <w:lang w:val="en-US"/>
        </w:rPr>
        <w:t>CI</w:t>
      </w:r>
      <w:r w:rsidR="00057E7D" w:rsidRPr="00D32416">
        <w:rPr>
          <w:rFonts w:asciiTheme="minorHAnsi" w:hAnsiTheme="minorHAnsi" w:cstheme="minorHAnsi"/>
          <w:color w:val="232323"/>
          <w:sz w:val="22"/>
          <w:szCs w:val="22"/>
        </w:rPr>
        <w:t xml:space="preserve"> 89.2-94.3)</w:t>
      </w:r>
      <w:r w:rsidR="007B45BE" w:rsidRPr="00D32416">
        <w:rPr>
          <w:rFonts w:asciiTheme="minorHAnsi" w:hAnsiTheme="minorHAnsi" w:cstheme="minorHAnsi"/>
          <w:color w:val="232323"/>
          <w:sz w:val="22"/>
          <w:szCs w:val="22"/>
        </w:rPr>
        <w:t xml:space="preserve"> αντίστοιχα</w:t>
      </w:r>
      <w:r w:rsidR="00057E7D" w:rsidRPr="00D32416">
        <w:rPr>
          <w:rFonts w:asciiTheme="minorHAnsi" w:hAnsiTheme="minorHAnsi" w:cstheme="minorHAnsi"/>
          <w:color w:val="232323"/>
          <w:sz w:val="22"/>
          <w:szCs w:val="22"/>
        </w:rPr>
        <w:t xml:space="preserve">. </w:t>
      </w:r>
      <w:r w:rsidR="00944C4F" w:rsidRPr="00D32416">
        <w:rPr>
          <w:rFonts w:asciiTheme="minorHAnsi" w:hAnsiTheme="minorHAnsi" w:cstheme="minorHAnsi"/>
          <w:color w:val="232323"/>
          <w:sz w:val="22"/>
          <w:szCs w:val="22"/>
        </w:rPr>
        <w:t xml:space="preserve">Τα ποσοστά απώτερης τοξικότητας </w:t>
      </w:r>
      <w:r w:rsidR="00057E7D" w:rsidRPr="00D32416">
        <w:rPr>
          <w:rFonts w:asciiTheme="minorHAnsi" w:hAnsiTheme="minorHAnsi" w:cstheme="minorHAnsi"/>
          <w:color w:val="232323"/>
          <w:sz w:val="22"/>
          <w:szCs w:val="22"/>
        </w:rPr>
        <w:t xml:space="preserve">≥3 </w:t>
      </w:r>
      <w:r w:rsidR="00944C4F" w:rsidRPr="00D32416">
        <w:rPr>
          <w:rFonts w:asciiTheme="minorHAnsi" w:hAnsiTheme="minorHAnsi" w:cstheme="minorHAnsi"/>
          <w:color w:val="232323"/>
          <w:sz w:val="22"/>
          <w:szCs w:val="22"/>
        </w:rPr>
        <w:t xml:space="preserve">ουροποιητικού και γαστρεντερικού ήταν </w:t>
      </w:r>
      <w:r w:rsidR="00057E7D" w:rsidRPr="00D32416">
        <w:rPr>
          <w:rFonts w:asciiTheme="minorHAnsi" w:hAnsiTheme="minorHAnsi" w:cstheme="minorHAnsi"/>
          <w:color w:val="232323"/>
          <w:sz w:val="22"/>
          <w:szCs w:val="22"/>
        </w:rPr>
        <w:t xml:space="preserve">2 (95% </w:t>
      </w:r>
      <w:r w:rsidR="00057E7D" w:rsidRPr="00D32416">
        <w:rPr>
          <w:rFonts w:asciiTheme="minorHAnsi" w:hAnsiTheme="minorHAnsi" w:cstheme="minorHAnsi"/>
          <w:color w:val="232323"/>
          <w:sz w:val="22"/>
          <w:szCs w:val="22"/>
          <w:lang w:val="en-US"/>
        </w:rPr>
        <w:t>CI</w:t>
      </w:r>
      <w:r w:rsidR="00057E7D" w:rsidRPr="00D32416">
        <w:rPr>
          <w:rFonts w:asciiTheme="minorHAnsi" w:hAnsiTheme="minorHAnsi" w:cstheme="minorHAnsi"/>
          <w:color w:val="232323"/>
          <w:sz w:val="22"/>
          <w:szCs w:val="22"/>
        </w:rPr>
        <w:t xml:space="preserve"> 1.4-2.8) </w:t>
      </w:r>
      <w:r w:rsidR="00944C4F" w:rsidRPr="00D32416">
        <w:rPr>
          <w:rFonts w:asciiTheme="minorHAnsi" w:hAnsiTheme="minorHAnsi" w:cstheme="minorHAnsi"/>
          <w:color w:val="232323"/>
          <w:sz w:val="22"/>
          <w:szCs w:val="22"/>
        </w:rPr>
        <w:t>και</w:t>
      </w:r>
      <w:r w:rsidR="00057E7D" w:rsidRPr="00D32416">
        <w:rPr>
          <w:rFonts w:asciiTheme="minorHAnsi" w:hAnsiTheme="minorHAnsi" w:cstheme="minorHAnsi"/>
          <w:color w:val="232323"/>
          <w:sz w:val="22"/>
          <w:szCs w:val="22"/>
        </w:rPr>
        <w:t xml:space="preserve"> 1.1 (95% </w:t>
      </w:r>
      <w:r w:rsidR="00057E7D" w:rsidRPr="00D32416">
        <w:rPr>
          <w:rFonts w:asciiTheme="minorHAnsi" w:hAnsiTheme="minorHAnsi" w:cstheme="minorHAnsi"/>
          <w:color w:val="232323"/>
          <w:sz w:val="22"/>
          <w:szCs w:val="22"/>
          <w:lang w:val="en-US"/>
        </w:rPr>
        <w:t>CI</w:t>
      </w:r>
      <w:r w:rsidR="00057E7D" w:rsidRPr="00D32416">
        <w:rPr>
          <w:rFonts w:asciiTheme="minorHAnsi" w:hAnsiTheme="minorHAnsi" w:cstheme="minorHAnsi"/>
          <w:color w:val="232323"/>
          <w:sz w:val="22"/>
          <w:szCs w:val="22"/>
        </w:rPr>
        <w:t xml:space="preserve"> 0.6-2.0)</w:t>
      </w:r>
      <w:r w:rsidR="00944C4F" w:rsidRPr="00D32416">
        <w:rPr>
          <w:rFonts w:asciiTheme="minorHAnsi" w:hAnsiTheme="minorHAnsi" w:cstheme="minorHAnsi"/>
          <w:color w:val="232323"/>
          <w:sz w:val="22"/>
          <w:szCs w:val="22"/>
        </w:rPr>
        <w:t xml:space="preserve"> αντίστοιχα</w:t>
      </w:r>
      <w:r w:rsidR="00057E7D" w:rsidRPr="00D32416">
        <w:rPr>
          <w:rFonts w:asciiTheme="minorHAnsi" w:hAnsiTheme="minorHAnsi" w:cstheme="minorHAnsi"/>
          <w:color w:val="232323"/>
          <w:sz w:val="22"/>
          <w:szCs w:val="22"/>
        </w:rPr>
        <w:t xml:space="preserve">. </w:t>
      </w:r>
      <w:r w:rsidR="00944C4F" w:rsidRPr="00D32416">
        <w:rPr>
          <w:rFonts w:asciiTheme="minorHAnsi" w:hAnsiTheme="minorHAnsi" w:cstheme="minorHAnsi"/>
          <w:color w:val="232323"/>
          <w:sz w:val="22"/>
          <w:szCs w:val="22"/>
        </w:rPr>
        <w:t xml:space="preserve">Η αύξηση της δόση της </w:t>
      </w:r>
      <w:r w:rsidR="00057E7D" w:rsidRPr="00D32416">
        <w:rPr>
          <w:rFonts w:asciiTheme="minorHAnsi" w:hAnsiTheme="minorHAnsi" w:cstheme="minorHAnsi"/>
          <w:color w:val="232323"/>
          <w:sz w:val="22"/>
          <w:szCs w:val="22"/>
          <w:lang w:val="en-US"/>
        </w:rPr>
        <w:t>SBRT</w:t>
      </w:r>
      <w:r w:rsidR="00057E7D" w:rsidRPr="00D32416">
        <w:rPr>
          <w:rFonts w:asciiTheme="minorHAnsi" w:hAnsiTheme="minorHAnsi" w:cstheme="minorHAnsi"/>
          <w:color w:val="232323"/>
          <w:sz w:val="22"/>
          <w:szCs w:val="22"/>
        </w:rPr>
        <w:t xml:space="preserve"> </w:t>
      </w:r>
      <w:r w:rsidR="00944C4F" w:rsidRPr="00D32416">
        <w:rPr>
          <w:rFonts w:asciiTheme="minorHAnsi" w:hAnsiTheme="minorHAnsi" w:cstheme="minorHAnsi"/>
          <w:color w:val="232323"/>
          <w:sz w:val="22"/>
          <w:szCs w:val="22"/>
        </w:rPr>
        <w:t>συνδέθηκε με βελτίωση του βιοχημικού ελέγχου, αλλά και με αύξηση της απώτερης τοξικότητας του ουροποιητικού</w:t>
      </w:r>
      <w:r w:rsidR="00057E7D" w:rsidRPr="00D32416">
        <w:rPr>
          <w:rFonts w:asciiTheme="minorHAnsi" w:hAnsiTheme="minorHAnsi" w:cstheme="minorHAnsi"/>
          <w:color w:val="232323"/>
          <w:sz w:val="22"/>
          <w:szCs w:val="22"/>
        </w:rPr>
        <w:t>.</w:t>
      </w:r>
    </w:p>
    <w:p w14:paraId="334BB1EE" w14:textId="46E0AF22" w:rsidR="004B2028" w:rsidRPr="00D32416" w:rsidRDefault="00CB7D25" w:rsidP="004B2028">
      <w:pPr>
        <w:spacing w:line="360" w:lineRule="auto"/>
        <w:rPr>
          <w:rFonts w:cstheme="minorHAnsi"/>
          <w:b/>
        </w:rPr>
      </w:pPr>
      <w:r>
        <w:rPr>
          <w:rFonts w:cstheme="minorHAnsi"/>
          <w:b/>
          <w:color w:val="000000" w:themeColor="text1"/>
        </w:rPr>
        <w:t>Πρωτοτυπία</w:t>
      </w:r>
      <w:r w:rsidRPr="00CB7D25">
        <w:rPr>
          <w:rFonts w:cstheme="minorHAnsi"/>
          <w:b/>
          <w:color w:val="000000" w:themeColor="text1"/>
        </w:rPr>
        <w:t xml:space="preserve">: </w:t>
      </w:r>
      <w:r w:rsidR="004B2028" w:rsidRPr="004B2028">
        <w:rPr>
          <w:rFonts w:cstheme="minorHAnsi"/>
          <w:b/>
          <w:color w:val="000000" w:themeColor="text1"/>
        </w:rPr>
        <w:t xml:space="preserve">Εκτίμηση καταγεγραμμένων δεδομένων μετατόπισης, βασισμένων </w:t>
      </w:r>
      <w:r w:rsidR="004B2028" w:rsidRPr="00CB7D25">
        <w:rPr>
          <w:rFonts w:cstheme="minorHAnsi"/>
          <w:b/>
          <w:color w:val="000000" w:themeColor="text1"/>
          <w:u w:val="single"/>
        </w:rPr>
        <w:t xml:space="preserve">σε on-line 3D-3D ευθυγράμμιση </w:t>
      </w:r>
      <w:r w:rsidR="004B2028">
        <w:rPr>
          <w:rFonts w:cstheme="minorHAnsi"/>
          <w:b/>
        </w:rPr>
        <w:t>και</w:t>
      </w:r>
      <w:r w:rsidR="004B2028" w:rsidRPr="0069390D">
        <w:rPr>
          <w:rFonts w:cstheme="minorHAnsi"/>
          <w:b/>
        </w:rPr>
        <w:t xml:space="preserve"> </w:t>
      </w:r>
      <w:r w:rsidR="004B2028" w:rsidRPr="00CB7D25">
        <w:rPr>
          <w:rFonts w:cstheme="minorHAnsi"/>
          <w:b/>
          <w:u w:val="single"/>
        </w:rPr>
        <w:t>ποιότητας ζωής</w:t>
      </w:r>
      <w:r w:rsidR="004B2028" w:rsidRPr="00D32416">
        <w:rPr>
          <w:rFonts w:cstheme="minorHAnsi"/>
          <w:b/>
        </w:rPr>
        <w:t xml:space="preserve"> των ασθενών με κλινικά εντοπισμένο καρκίνο προστάτη που </w:t>
      </w:r>
      <w:r w:rsidR="004B2028">
        <w:rPr>
          <w:rFonts w:cstheme="minorHAnsi"/>
          <w:b/>
        </w:rPr>
        <w:t xml:space="preserve">θα υποβληθούν </w:t>
      </w:r>
      <w:r w:rsidR="004B2028" w:rsidRPr="00D32416">
        <w:rPr>
          <w:rFonts w:cstheme="minorHAnsi"/>
          <w:b/>
        </w:rPr>
        <w:t xml:space="preserve">σε </w:t>
      </w:r>
      <w:r w:rsidR="004B2028" w:rsidRPr="00CB7D25">
        <w:rPr>
          <w:rFonts w:cstheme="minorHAnsi"/>
          <w:b/>
          <w:u w:val="single"/>
        </w:rPr>
        <w:t>ακτινοχειρουργική</w:t>
      </w:r>
      <w:r w:rsidR="004B2028" w:rsidRPr="00D32416">
        <w:rPr>
          <w:rFonts w:cstheme="minorHAnsi"/>
          <w:b/>
        </w:rPr>
        <w:t>.</w:t>
      </w:r>
    </w:p>
    <w:p w14:paraId="79F5BCB1" w14:textId="77777777" w:rsidR="004B2028" w:rsidRDefault="004B2028" w:rsidP="00D32416">
      <w:pPr>
        <w:pStyle w:val="headinganchor"/>
        <w:shd w:val="clear" w:color="auto" w:fill="FFFFFF"/>
        <w:spacing w:after="0" w:line="360" w:lineRule="auto"/>
        <w:ind w:firstLine="720"/>
        <w:rPr>
          <w:rFonts w:asciiTheme="minorHAnsi" w:hAnsiTheme="minorHAnsi" w:cstheme="minorHAnsi"/>
          <w:color w:val="232323"/>
          <w:sz w:val="22"/>
          <w:szCs w:val="22"/>
        </w:rPr>
      </w:pPr>
    </w:p>
    <w:p w14:paraId="6354CC35" w14:textId="77777777" w:rsidR="0017233C" w:rsidRPr="004B2028" w:rsidRDefault="0017233C" w:rsidP="00000A36">
      <w:pPr>
        <w:spacing w:after="240" w:line="360" w:lineRule="auto"/>
        <w:jc w:val="both"/>
        <w:rPr>
          <w:rFonts w:cstheme="minorHAnsi"/>
          <w:bCs/>
        </w:rPr>
      </w:pPr>
      <w:r w:rsidRPr="004B2028">
        <w:rPr>
          <w:rFonts w:cstheme="minorHAnsi"/>
          <w:b/>
          <w:bCs/>
        </w:rPr>
        <w:t>Μελέτη των on-line 3D μετατοπίσεων σε ασθενείς που υποβάλλονται σε ακτινοθεραπεία</w:t>
      </w:r>
    </w:p>
    <w:p w14:paraId="472AFB79" w14:textId="0242852A" w:rsidR="0017233C" w:rsidRPr="004B2028" w:rsidRDefault="0017233C" w:rsidP="00000A36">
      <w:pPr>
        <w:spacing w:after="240" w:line="360" w:lineRule="auto"/>
        <w:ind w:firstLine="720"/>
        <w:jc w:val="both"/>
        <w:rPr>
          <w:rFonts w:cstheme="minorHAnsi"/>
          <w:bCs/>
        </w:rPr>
      </w:pPr>
      <w:r w:rsidRPr="004B2028">
        <w:rPr>
          <w:rFonts w:cstheme="minorHAnsi"/>
          <w:bCs/>
        </w:rPr>
        <w:t>Στην καθημερινή ακτινοθεραπευτική διαδικασία, η επιβεβαίωση της ορθής θέσης θεραπείας πραγματοποιείται μέσω 2</w:t>
      </w:r>
      <w:r w:rsidRPr="004B2028">
        <w:rPr>
          <w:rFonts w:cstheme="minorHAnsi"/>
          <w:bCs/>
          <w:lang w:val="en-US"/>
        </w:rPr>
        <w:t>D</w:t>
      </w:r>
      <w:r w:rsidRPr="004B2028">
        <w:rPr>
          <w:rFonts w:cstheme="minorHAnsi"/>
          <w:bCs/>
        </w:rPr>
        <w:t xml:space="preserve"> ή/και 3</w:t>
      </w:r>
      <w:r w:rsidRPr="004B2028">
        <w:rPr>
          <w:rFonts w:cstheme="minorHAnsi"/>
          <w:bCs/>
          <w:lang w:val="en-US"/>
        </w:rPr>
        <w:t>D</w:t>
      </w:r>
      <w:r w:rsidRPr="004B2028">
        <w:rPr>
          <w:rFonts w:cstheme="minorHAnsi"/>
          <w:bCs/>
        </w:rPr>
        <w:t xml:space="preserve"> απεικόνισης. Η 2</w:t>
      </w:r>
      <w:r w:rsidRPr="004B2028">
        <w:rPr>
          <w:rFonts w:cstheme="minorHAnsi"/>
          <w:bCs/>
          <w:lang w:val="en-US"/>
        </w:rPr>
        <w:t>D</w:t>
      </w:r>
      <w:r w:rsidRPr="004B2028">
        <w:rPr>
          <w:rFonts w:cstheme="minorHAnsi"/>
          <w:bCs/>
        </w:rPr>
        <w:t xml:space="preserve"> ευθυγράμμιση περιλαμβάνει τη λήψη 2</w:t>
      </w:r>
      <w:r w:rsidRPr="004B2028">
        <w:rPr>
          <w:rFonts w:cstheme="minorHAnsi"/>
          <w:bCs/>
          <w:lang w:val="en-US"/>
        </w:rPr>
        <w:t>D</w:t>
      </w:r>
      <w:r w:rsidRPr="004B2028">
        <w:rPr>
          <w:rFonts w:cstheme="minorHAnsi"/>
          <w:bCs/>
        </w:rPr>
        <w:t xml:space="preserve"> ακτινογραφιών (0</w:t>
      </w:r>
      <w:r w:rsidRPr="004B2028">
        <w:rPr>
          <w:rFonts w:cstheme="minorHAnsi"/>
          <w:bCs/>
        </w:rPr>
        <w:sym w:font="Symbol" w:char="F0B0"/>
      </w:r>
      <w:r w:rsidRPr="004B2028">
        <w:rPr>
          <w:rFonts w:cstheme="minorHAnsi"/>
          <w:bCs/>
        </w:rPr>
        <w:t xml:space="preserve"> και 90</w:t>
      </w:r>
      <w:r w:rsidRPr="004B2028">
        <w:rPr>
          <w:rFonts w:cstheme="minorHAnsi"/>
          <w:bCs/>
        </w:rPr>
        <w:sym w:font="Symbol" w:char="F0B0"/>
      </w:r>
      <w:r w:rsidRPr="004B2028">
        <w:rPr>
          <w:rFonts w:cstheme="minorHAnsi"/>
          <w:bCs/>
        </w:rPr>
        <w:t>/270</w:t>
      </w:r>
      <w:r w:rsidRPr="004B2028">
        <w:rPr>
          <w:rFonts w:cstheme="minorHAnsi"/>
          <w:bCs/>
        </w:rPr>
        <w:sym w:font="Symbol" w:char="F0B0"/>
      </w:r>
      <w:r w:rsidRPr="004B2028">
        <w:rPr>
          <w:rFonts w:cstheme="minorHAnsi"/>
          <w:bCs/>
        </w:rPr>
        <w:t xml:space="preserve">) οι οποίες, στη συνέχεια, ευθυγραμμίζονται με τις αντίστοιχες </w:t>
      </w:r>
      <w:r w:rsidRPr="004B2028">
        <w:rPr>
          <w:rFonts w:cstheme="minorHAnsi"/>
          <w:bCs/>
          <w:lang w:val="en-US"/>
        </w:rPr>
        <w:t>DRR</w:t>
      </w:r>
      <w:r w:rsidRPr="004B2028">
        <w:rPr>
          <w:rFonts w:cstheme="minorHAnsi"/>
          <w:bCs/>
        </w:rPr>
        <w:t xml:space="preserve"> (οι οποίες παράγονται από τη </w:t>
      </w:r>
      <w:r w:rsidRPr="004B2028">
        <w:rPr>
          <w:rFonts w:cstheme="minorHAnsi"/>
          <w:bCs/>
          <w:lang w:val="en-US"/>
        </w:rPr>
        <w:t>CT</w:t>
      </w:r>
      <w:r w:rsidRPr="004B2028">
        <w:rPr>
          <w:rFonts w:cstheme="minorHAnsi"/>
          <w:bCs/>
        </w:rPr>
        <w:t xml:space="preserve"> σχεδιασμού). </w:t>
      </w:r>
      <w:r w:rsidR="00AD4F3F">
        <w:rPr>
          <w:rFonts w:cstheme="minorHAnsi"/>
          <w:bCs/>
        </w:rPr>
        <w:t>Οι</w:t>
      </w:r>
      <w:r w:rsidRPr="004B2028">
        <w:rPr>
          <w:rFonts w:cstheme="minorHAnsi"/>
          <w:bCs/>
        </w:rPr>
        <w:t xml:space="preserve"> ευθυγρ</w:t>
      </w:r>
      <w:r w:rsidR="00AD4F3F">
        <w:rPr>
          <w:rFonts w:cstheme="minorHAnsi"/>
          <w:bCs/>
        </w:rPr>
        <w:t>α</w:t>
      </w:r>
      <w:r w:rsidRPr="004B2028">
        <w:rPr>
          <w:rFonts w:cstheme="minorHAnsi"/>
          <w:bCs/>
        </w:rPr>
        <w:t>μμ</w:t>
      </w:r>
      <w:r w:rsidR="00AD4F3F">
        <w:rPr>
          <w:rFonts w:cstheme="minorHAnsi"/>
          <w:bCs/>
        </w:rPr>
        <w:t>ί</w:t>
      </w:r>
      <w:r w:rsidRPr="004B2028">
        <w:rPr>
          <w:rFonts w:cstheme="minorHAnsi"/>
          <w:bCs/>
        </w:rPr>
        <w:t>σ</w:t>
      </w:r>
      <w:r w:rsidR="00AD4F3F">
        <w:rPr>
          <w:rFonts w:cstheme="minorHAnsi"/>
          <w:bCs/>
        </w:rPr>
        <w:t>εις</w:t>
      </w:r>
      <w:r w:rsidR="002B4593">
        <w:rPr>
          <w:rFonts w:cstheme="minorHAnsi"/>
          <w:bCs/>
        </w:rPr>
        <w:t xml:space="preserve"> </w:t>
      </w:r>
      <w:r w:rsidRPr="004B2028">
        <w:rPr>
          <w:rFonts w:cstheme="minorHAnsi"/>
          <w:bCs/>
        </w:rPr>
        <w:t>γίν</w:t>
      </w:r>
      <w:r w:rsidR="00AD4F3F">
        <w:rPr>
          <w:rFonts w:cstheme="minorHAnsi"/>
          <w:bCs/>
        </w:rPr>
        <w:t>ονται</w:t>
      </w:r>
      <w:r w:rsidRPr="004B2028">
        <w:rPr>
          <w:rFonts w:cstheme="minorHAnsi"/>
          <w:bCs/>
        </w:rPr>
        <w:t xml:space="preserve"> χειροκίνητα (</w:t>
      </w:r>
      <w:r w:rsidRPr="004B2028">
        <w:rPr>
          <w:rFonts w:cstheme="minorHAnsi"/>
          <w:bCs/>
          <w:lang w:val="en-US"/>
        </w:rPr>
        <w:t>manual</w:t>
      </w:r>
      <w:r w:rsidRPr="004B2028">
        <w:rPr>
          <w:rFonts w:cstheme="minorHAnsi"/>
          <w:bCs/>
        </w:rPr>
        <w:t xml:space="preserve"> </w:t>
      </w:r>
      <w:r w:rsidRPr="004B2028">
        <w:rPr>
          <w:rFonts w:cstheme="minorHAnsi"/>
          <w:bCs/>
          <w:lang w:val="en-US"/>
        </w:rPr>
        <w:t>registration</w:t>
      </w:r>
      <w:r w:rsidRPr="004B2028">
        <w:rPr>
          <w:rFonts w:cstheme="minorHAnsi"/>
          <w:bCs/>
        </w:rPr>
        <w:t xml:space="preserve">) από τους τεχνολόγους-ακτινολόγους και αποθηκεύονται στον ηλεκτρονικό φάκελο θεραπείας του ασθενούς. Η μετατόπιση αφορά στην μετακίνηση της τράπεζας θεραπείας, ώστε το ισόκεντρο θεραπείας να συμπίπτει με το ισόκεντρο περιστροφής του </w:t>
      </w:r>
      <w:r w:rsidRPr="004B2028">
        <w:rPr>
          <w:rFonts w:cstheme="minorHAnsi"/>
          <w:bCs/>
          <w:lang w:val="en-US"/>
        </w:rPr>
        <w:t>Linac</w:t>
      </w:r>
      <w:r w:rsidRPr="004B2028">
        <w:rPr>
          <w:rFonts w:cstheme="minorHAnsi"/>
          <w:bCs/>
        </w:rPr>
        <w:t xml:space="preserve">. </w:t>
      </w:r>
    </w:p>
    <w:p w14:paraId="56FE3236" w14:textId="77777777" w:rsidR="0017233C" w:rsidRPr="004B2028" w:rsidRDefault="0017233C" w:rsidP="00000A36">
      <w:pPr>
        <w:spacing w:after="240" w:line="360" w:lineRule="auto"/>
        <w:ind w:firstLine="720"/>
        <w:jc w:val="both"/>
        <w:rPr>
          <w:rFonts w:cstheme="minorHAnsi"/>
          <w:bCs/>
        </w:rPr>
      </w:pPr>
      <w:r w:rsidRPr="004B2028">
        <w:rPr>
          <w:rFonts w:cstheme="minorHAnsi"/>
          <w:bCs/>
        </w:rPr>
        <w:t>Η εκτίμηση του τυχαίου και του συστηματικού σφάλματος στην τοποθέτηση του ασθενούς, βασίζεται στον υπολογισμό της 3</w:t>
      </w:r>
      <w:r w:rsidRPr="004B2028">
        <w:rPr>
          <w:rFonts w:cstheme="minorHAnsi"/>
          <w:bCs/>
          <w:lang w:val="en-US"/>
        </w:rPr>
        <w:t>D</w:t>
      </w:r>
      <w:r w:rsidRPr="004B2028">
        <w:rPr>
          <w:rFonts w:cstheme="minorHAnsi"/>
          <w:bCs/>
        </w:rPr>
        <w:t xml:space="preserve"> μετατόπισης όπως αυτή υπολογίζεται από τις μετατοπίσεις στον προσθιοπίσθιο (ΠΟ), κεφαλουραίο (ΚΟ) και πλαγιοπλάγιο (ΠΠ) άξονα (Βλέπε ακόλουθη εξίσωση 1). </w:t>
      </w:r>
    </w:p>
    <w:p w14:paraId="70D938FA" w14:textId="77777777" w:rsidR="0017233C" w:rsidRPr="004B2028" w:rsidRDefault="0017233C" w:rsidP="00000A36">
      <w:pPr>
        <w:pBdr>
          <w:top w:val="single" w:sz="4" w:space="1" w:color="auto"/>
          <w:left w:val="single" w:sz="4" w:space="4" w:color="auto"/>
          <w:bottom w:val="single" w:sz="4" w:space="1" w:color="auto"/>
          <w:right w:val="single" w:sz="4" w:space="4" w:color="auto"/>
        </w:pBdr>
        <w:spacing w:after="240" w:line="360" w:lineRule="auto"/>
        <w:ind w:firstLine="720"/>
        <w:jc w:val="center"/>
        <w:rPr>
          <w:rFonts w:cstheme="minorHAnsi"/>
          <w:bCs/>
        </w:rPr>
      </w:pPr>
      <w:r w:rsidRPr="004B2028">
        <w:rPr>
          <w:rFonts w:cstheme="minorHAnsi"/>
          <w:b/>
          <w:bCs/>
        </w:rPr>
        <w:lastRenderedPageBreak/>
        <w:t>Εξίσωση 1:</w:t>
      </w:r>
      <w:r w:rsidRPr="004B2028">
        <w:rPr>
          <w:rFonts w:cstheme="minorHAnsi"/>
          <w:bCs/>
        </w:rPr>
        <w:t xml:space="preserve">               3D Μετατόπιση =  </w:t>
      </w:r>
      <m:oMath>
        <m:rad>
          <m:radPr>
            <m:degHide m:val="1"/>
            <m:ctrlPr>
              <w:rPr>
                <w:rFonts w:ascii="Cambria Math" w:hAnsi="Cambria Math" w:cstheme="minorHAnsi"/>
                <w:bCs/>
              </w:rPr>
            </m:ctrlPr>
          </m:radPr>
          <m:deg/>
          <m:e>
            <m:sSup>
              <m:sSupPr>
                <m:ctrlPr>
                  <w:rPr>
                    <w:rFonts w:ascii="Cambria Math" w:hAnsi="Cambria Math" w:cstheme="minorHAnsi"/>
                    <w:bCs/>
                  </w:rPr>
                </m:ctrlPr>
              </m:sSupPr>
              <m:e>
                <m:r>
                  <w:rPr>
                    <w:rFonts w:ascii="Cambria Math" w:hAnsi="Cambria Math" w:cstheme="minorHAnsi"/>
                  </w:rPr>
                  <m:t>x</m:t>
                </m:r>
              </m:e>
              <m:sup>
                <m:r>
                  <m:rPr>
                    <m:sty m:val="p"/>
                  </m:rPr>
                  <w:rPr>
                    <w:rFonts w:ascii="Cambria Math" w:cstheme="minorHAnsi"/>
                  </w:rPr>
                  <m:t>2</m:t>
                </m:r>
              </m:sup>
            </m:sSup>
            <m:r>
              <m:rPr>
                <m:sty m:val="p"/>
              </m:rPr>
              <w:rPr>
                <w:rFonts w:ascii="Cambria Math" w:cstheme="minorHAnsi"/>
              </w:rPr>
              <m:t>+</m:t>
            </m:r>
            <m:sSup>
              <m:sSupPr>
                <m:ctrlPr>
                  <w:rPr>
                    <w:rFonts w:ascii="Cambria Math" w:hAnsi="Cambria Math" w:cstheme="minorHAnsi"/>
                    <w:bCs/>
                  </w:rPr>
                </m:ctrlPr>
              </m:sSupPr>
              <m:e>
                <m:r>
                  <w:rPr>
                    <w:rFonts w:ascii="Cambria Math" w:hAnsi="Cambria Math" w:cstheme="minorHAnsi"/>
                  </w:rPr>
                  <m:t>y</m:t>
                </m:r>
              </m:e>
              <m:sup>
                <m:r>
                  <m:rPr>
                    <m:sty m:val="p"/>
                  </m:rPr>
                  <w:rPr>
                    <w:rFonts w:ascii="Cambria Math" w:cstheme="minorHAnsi"/>
                  </w:rPr>
                  <m:t>2</m:t>
                </m:r>
              </m:sup>
            </m:sSup>
            <m:r>
              <m:rPr>
                <m:sty m:val="p"/>
              </m:rPr>
              <w:rPr>
                <w:rFonts w:ascii="Cambria Math" w:cstheme="minorHAnsi"/>
              </w:rPr>
              <m:t>+</m:t>
            </m:r>
            <m:sSup>
              <m:sSupPr>
                <m:ctrlPr>
                  <w:rPr>
                    <w:rFonts w:ascii="Cambria Math" w:hAnsi="Cambria Math" w:cstheme="minorHAnsi"/>
                    <w:bCs/>
                  </w:rPr>
                </m:ctrlPr>
              </m:sSupPr>
              <m:e>
                <m:r>
                  <w:rPr>
                    <w:rFonts w:ascii="Cambria Math" w:hAnsi="Cambria Math" w:cstheme="minorHAnsi"/>
                  </w:rPr>
                  <m:t>z</m:t>
                </m:r>
              </m:e>
              <m:sup>
                <m:r>
                  <m:rPr>
                    <m:sty m:val="p"/>
                  </m:rPr>
                  <w:rPr>
                    <w:rFonts w:ascii="Cambria Math" w:cstheme="minorHAnsi"/>
                  </w:rPr>
                  <m:t>2</m:t>
                </m:r>
              </m:sup>
            </m:sSup>
          </m:e>
        </m:rad>
      </m:oMath>
    </w:p>
    <w:p w14:paraId="586BB638" w14:textId="77777777" w:rsidR="0017233C" w:rsidRPr="004B2028" w:rsidRDefault="0017233C" w:rsidP="00000A36">
      <w:pPr>
        <w:spacing w:after="240" w:line="360" w:lineRule="auto"/>
        <w:ind w:firstLine="720"/>
        <w:jc w:val="both"/>
        <w:rPr>
          <w:rFonts w:cstheme="minorHAnsi"/>
          <w:bCs/>
        </w:rPr>
      </w:pPr>
      <w:r w:rsidRPr="004B2028">
        <w:rPr>
          <w:rFonts w:cstheme="minorHAnsi"/>
          <w:bCs/>
        </w:rPr>
        <w:t xml:space="preserve">όπου, </w:t>
      </w:r>
      <w:r w:rsidRPr="004B2028">
        <w:rPr>
          <w:rFonts w:cstheme="minorHAnsi"/>
          <w:bCs/>
        </w:rPr>
        <w:tab/>
        <w:t>x : μετατόπιση στον ΠροσθιΟπίσθιο (ΠΟ) άξονα</w:t>
      </w:r>
    </w:p>
    <w:p w14:paraId="373A75A9" w14:textId="77777777" w:rsidR="0017233C" w:rsidRPr="004B2028" w:rsidRDefault="0017233C" w:rsidP="00000A36">
      <w:pPr>
        <w:spacing w:after="240" w:line="360" w:lineRule="auto"/>
        <w:ind w:left="720" w:firstLine="720"/>
        <w:jc w:val="both"/>
        <w:rPr>
          <w:rFonts w:cstheme="minorHAnsi"/>
          <w:bCs/>
        </w:rPr>
      </w:pPr>
      <w:r w:rsidRPr="004B2028">
        <w:rPr>
          <w:rFonts w:cstheme="minorHAnsi"/>
          <w:bCs/>
        </w:rPr>
        <w:t>y : μετατόπιση στον ΚεφαλΟυραίο (ΚΟ) άξονα</w:t>
      </w:r>
    </w:p>
    <w:p w14:paraId="58C09CC6" w14:textId="77777777" w:rsidR="0017233C" w:rsidRPr="004B2028" w:rsidRDefault="0017233C" w:rsidP="00000A36">
      <w:pPr>
        <w:spacing w:after="240" w:line="360" w:lineRule="auto"/>
        <w:ind w:left="720" w:firstLine="720"/>
        <w:jc w:val="both"/>
        <w:rPr>
          <w:rFonts w:cstheme="minorHAnsi"/>
          <w:bCs/>
        </w:rPr>
      </w:pPr>
      <w:r w:rsidRPr="004B2028">
        <w:rPr>
          <w:rFonts w:cstheme="minorHAnsi"/>
          <w:bCs/>
        </w:rPr>
        <w:t>z : μετατόπιση στον ΠλαγιοΠλάγιο (ΠΠ) άξονα</w:t>
      </w:r>
    </w:p>
    <w:p w14:paraId="704B4399" w14:textId="77777777" w:rsidR="0017233C" w:rsidRPr="004B2028" w:rsidRDefault="0017233C" w:rsidP="00000A36">
      <w:pPr>
        <w:spacing w:after="240" w:line="360" w:lineRule="auto"/>
        <w:ind w:firstLine="720"/>
        <w:jc w:val="both"/>
        <w:rPr>
          <w:rFonts w:cstheme="minorHAnsi"/>
          <w:bCs/>
        </w:rPr>
      </w:pPr>
    </w:p>
    <w:p w14:paraId="126D4576" w14:textId="77777777" w:rsidR="0017233C" w:rsidRPr="004B2028" w:rsidRDefault="0017233C" w:rsidP="00000A36">
      <w:pPr>
        <w:spacing w:after="240" w:line="360" w:lineRule="auto"/>
        <w:ind w:firstLine="720"/>
        <w:jc w:val="both"/>
        <w:rPr>
          <w:rFonts w:cstheme="minorHAnsi"/>
          <w:bCs/>
        </w:rPr>
      </w:pPr>
      <w:r w:rsidRPr="004B2028">
        <w:rPr>
          <w:rFonts w:cstheme="minorHAnsi"/>
          <w:bCs/>
        </w:rPr>
        <w:t>Οι παράμετροι που υπολογίζονται είναι α) η μέση τιμή μετατόπισης ανά ασθενή (</w:t>
      </w:r>
      <w:r w:rsidRPr="004B2028">
        <w:rPr>
          <w:rFonts w:cstheme="minorHAnsi"/>
          <w:bCs/>
          <w:i/>
        </w:rPr>
        <w:t>ΜΤ</w:t>
      </w:r>
      <w:r w:rsidRPr="004B2028">
        <w:rPr>
          <w:rFonts w:cstheme="minorHAnsi"/>
          <w:bCs/>
        </w:rPr>
        <w:t>), η μέση τιμή του πληθυσμού (</w:t>
      </w:r>
      <w:r w:rsidRPr="004B2028">
        <w:rPr>
          <w:rFonts w:cstheme="minorHAnsi"/>
          <w:bCs/>
          <w:i/>
        </w:rPr>
        <w:t>Μ</w:t>
      </w:r>
      <w:r w:rsidRPr="004B2028">
        <w:rPr>
          <w:rFonts w:cstheme="minorHAnsi"/>
          <w:bCs/>
        </w:rPr>
        <w:t>), η σταθερά απόκλιση των μέσων τιμών ανά ασθενή (</w:t>
      </w:r>
      <w:r w:rsidRPr="004B2028">
        <w:rPr>
          <w:rFonts w:cstheme="minorHAnsi"/>
          <w:bCs/>
          <w:i/>
        </w:rPr>
        <w:t>Σ</w:t>
      </w:r>
      <w:r w:rsidRPr="004B2028">
        <w:rPr>
          <w:rFonts w:cstheme="minorHAnsi"/>
          <w:bCs/>
        </w:rPr>
        <w:t xml:space="preserve">) και το </w:t>
      </w:r>
      <w:r w:rsidRPr="004B2028">
        <w:rPr>
          <w:rFonts w:cstheme="minorHAnsi"/>
          <w:bCs/>
          <w:lang w:val="en-US"/>
        </w:rPr>
        <w:t>RMS</w:t>
      </w:r>
      <w:r w:rsidRPr="004B2028">
        <w:rPr>
          <w:rFonts w:cstheme="minorHAnsi"/>
          <w:bCs/>
        </w:rPr>
        <w:t xml:space="preserve"> των σταθερών αποκλίσεων ανά ασθενή (</w:t>
      </w:r>
      <w:r w:rsidRPr="004B2028">
        <w:rPr>
          <w:rFonts w:cstheme="minorHAnsi"/>
          <w:bCs/>
          <w:i/>
        </w:rPr>
        <w:t>σ</w:t>
      </w:r>
      <w:r w:rsidRPr="004B2028">
        <w:rPr>
          <w:rFonts w:cstheme="minorHAnsi"/>
          <w:bCs/>
        </w:rPr>
        <w:t>) και αναφέρονται στον παρακάτω πίνακα (Πίνακας 1).</w:t>
      </w:r>
    </w:p>
    <w:tbl>
      <w:tblPr>
        <w:tblStyle w:val="a4"/>
        <w:tblW w:w="9067" w:type="dxa"/>
        <w:jc w:val="center"/>
        <w:tblLook w:val="04A0" w:firstRow="1" w:lastRow="0" w:firstColumn="1" w:lastColumn="0" w:noHBand="0" w:noVBand="1"/>
      </w:tblPr>
      <w:tblGrid>
        <w:gridCol w:w="2405"/>
        <w:gridCol w:w="5103"/>
        <w:gridCol w:w="1559"/>
      </w:tblGrid>
      <w:tr w:rsidR="0017233C" w:rsidRPr="004B2028" w14:paraId="337DE81E" w14:textId="77777777" w:rsidTr="0017233C">
        <w:trPr>
          <w:jc w:val="center"/>
        </w:trPr>
        <w:tc>
          <w:tcPr>
            <w:tcW w:w="2405" w:type="dxa"/>
            <w:shd w:val="clear" w:color="auto" w:fill="DBE5F1" w:themeFill="accent1" w:themeFillTint="33"/>
            <w:vAlign w:val="center"/>
          </w:tcPr>
          <w:p w14:paraId="050E8388" w14:textId="77777777" w:rsidR="0017233C" w:rsidRPr="004B2028" w:rsidRDefault="0017233C" w:rsidP="00000A36">
            <w:pPr>
              <w:spacing w:after="240" w:line="480" w:lineRule="auto"/>
              <w:jc w:val="center"/>
              <w:rPr>
                <w:rFonts w:eastAsiaTheme="minorEastAsia" w:cstheme="minorHAnsi"/>
                <w:b/>
                <w:bCs/>
              </w:rPr>
            </w:pPr>
            <w:r w:rsidRPr="004B2028">
              <w:rPr>
                <w:rFonts w:eastAsiaTheme="minorEastAsia" w:cstheme="minorHAnsi"/>
                <w:b/>
                <w:bCs/>
              </w:rPr>
              <w:t>Παράμετροι</w:t>
            </w:r>
          </w:p>
        </w:tc>
        <w:tc>
          <w:tcPr>
            <w:tcW w:w="5103" w:type="dxa"/>
            <w:shd w:val="clear" w:color="auto" w:fill="DBE5F1" w:themeFill="accent1" w:themeFillTint="33"/>
            <w:vAlign w:val="center"/>
          </w:tcPr>
          <w:p w14:paraId="18D8ACB5" w14:textId="77777777" w:rsidR="0017233C" w:rsidRPr="004B2028" w:rsidRDefault="0017233C" w:rsidP="00000A36">
            <w:pPr>
              <w:spacing w:after="240" w:line="480" w:lineRule="auto"/>
              <w:jc w:val="center"/>
              <w:rPr>
                <w:rFonts w:eastAsiaTheme="minorEastAsia" w:cstheme="minorHAnsi"/>
                <w:b/>
                <w:bCs/>
              </w:rPr>
            </w:pPr>
          </w:p>
        </w:tc>
        <w:tc>
          <w:tcPr>
            <w:tcW w:w="1559" w:type="dxa"/>
            <w:shd w:val="clear" w:color="auto" w:fill="DBE5F1" w:themeFill="accent1" w:themeFillTint="33"/>
            <w:vAlign w:val="center"/>
          </w:tcPr>
          <w:p w14:paraId="4B666D5A" w14:textId="77777777" w:rsidR="0017233C" w:rsidRPr="004B2028" w:rsidRDefault="0017233C" w:rsidP="00000A36">
            <w:pPr>
              <w:spacing w:after="240" w:line="480" w:lineRule="auto"/>
              <w:jc w:val="center"/>
              <w:rPr>
                <w:rFonts w:eastAsiaTheme="minorEastAsia" w:cstheme="minorHAnsi"/>
                <w:b/>
                <w:bCs/>
              </w:rPr>
            </w:pPr>
            <w:r w:rsidRPr="004B2028">
              <w:rPr>
                <w:rFonts w:eastAsiaTheme="minorEastAsia" w:cstheme="minorHAnsi"/>
                <w:b/>
                <w:bCs/>
              </w:rPr>
              <w:t>Τύπος σφάλματος</w:t>
            </w:r>
          </w:p>
        </w:tc>
      </w:tr>
      <w:tr w:rsidR="0017233C" w:rsidRPr="004B2028" w14:paraId="52F1C17A" w14:textId="77777777" w:rsidTr="0017233C">
        <w:trPr>
          <w:trHeight w:val="1077"/>
          <w:jc w:val="center"/>
        </w:trPr>
        <w:tc>
          <w:tcPr>
            <w:tcW w:w="2405" w:type="dxa"/>
            <w:vAlign w:val="center"/>
          </w:tcPr>
          <w:p w14:paraId="003E9940" w14:textId="77777777" w:rsidR="0017233C" w:rsidRPr="004B2028" w:rsidRDefault="0017233C" w:rsidP="00000A36">
            <w:pPr>
              <w:spacing w:after="240" w:line="480" w:lineRule="auto"/>
              <w:jc w:val="center"/>
              <w:rPr>
                <w:rFonts w:eastAsiaTheme="minorEastAsia" w:cstheme="minorHAnsi"/>
                <w:bCs/>
              </w:rPr>
            </w:pPr>
            <w:r w:rsidRPr="004B2028">
              <w:rPr>
                <w:rFonts w:eastAsiaTheme="minorEastAsia" w:cstheme="minorHAnsi"/>
                <w:bCs/>
              </w:rPr>
              <w:t>Μέση τιμή πληθυσμού μελέτης (Μ)</w:t>
            </w:r>
          </w:p>
        </w:tc>
        <w:tc>
          <w:tcPr>
            <w:tcW w:w="5103" w:type="dxa"/>
            <w:vAlign w:val="center"/>
          </w:tcPr>
          <w:p w14:paraId="7C89D143" w14:textId="77777777" w:rsidR="0017233C" w:rsidRPr="004B2028" w:rsidRDefault="0017233C" w:rsidP="00000A36">
            <w:pPr>
              <w:spacing w:after="240" w:line="480" w:lineRule="auto"/>
              <w:jc w:val="center"/>
              <w:rPr>
                <w:rFonts w:eastAsiaTheme="minorEastAsia" w:cstheme="minorHAnsi"/>
                <w:bCs/>
              </w:rPr>
            </w:pPr>
            <m:oMath>
              <m:r>
                <m:rPr>
                  <m:sty m:val="bi"/>
                </m:rPr>
                <w:rPr>
                  <w:rFonts w:ascii="Cambria Math" w:eastAsiaTheme="minorEastAsia" w:hAnsi="Cambria Math" w:cstheme="minorHAnsi"/>
                </w:rPr>
                <m:t>Μ</m:t>
              </m:r>
              <m:r>
                <m:rPr>
                  <m:sty m:val="bi"/>
                </m:rPr>
                <w:rPr>
                  <w:rFonts w:ascii="Cambria Math" w:eastAsiaTheme="minorEastAsia" w:cstheme="minorHAnsi"/>
                </w:rPr>
                <m:t xml:space="preserve">= </m:t>
              </m:r>
              <m:f>
                <m:fPr>
                  <m:ctrlPr>
                    <w:rPr>
                      <w:rFonts w:ascii="Cambria Math" w:eastAsiaTheme="minorEastAsia" w:hAnsi="Cambria Math" w:cstheme="minorHAnsi"/>
                      <w:b/>
                      <w:bCs/>
                      <w:i/>
                    </w:rPr>
                  </m:ctrlPr>
                </m:fPr>
                <m:num>
                  <m:r>
                    <m:rPr>
                      <m:sty m:val="bi"/>
                    </m:rPr>
                    <w:rPr>
                      <w:rFonts w:ascii="Cambria Math" w:eastAsiaTheme="minorEastAsia" w:cstheme="minorHAnsi"/>
                    </w:rPr>
                    <m:t>(</m:t>
                  </m:r>
                  <m:r>
                    <m:rPr>
                      <m:sty m:val="bi"/>
                    </m:rPr>
                    <w:rPr>
                      <w:rFonts w:ascii="Cambria Math" w:eastAsiaTheme="minorEastAsia" w:hAnsi="Cambria Math" w:cstheme="minorHAnsi"/>
                    </w:rPr>
                    <m:t>Σ</m:t>
                  </m:r>
                  <m:r>
                    <m:rPr>
                      <m:sty m:val="bi"/>
                    </m:rPr>
                    <w:rPr>
                      <w:rFonts w:ascii="Cambria Math" w:eastAsiaTheme="minorEastAsia" w:hAnsi="Cambria Math" w:cstheme="minorHAnsi"/>
                      <w:lang w:val="en-US"/>
                    </w:rPr>
                    <m:t>nMT</m:t>
                  </m:r>
                  <m:r>
                    <m:rPr>
                      <m:sty m:val="bi"/>
                    </m:rPr>
                    <w:rPr>
                      <w:rFonts w:ascii="Cambria Math" w:eastAsiaTheme="minorEastAsia" w:cstheme="minorHAnsi"/>
                    </w:rPr>
                    <m:t>)</m:t>
                  </m:r>
                </m:num>
                <m:den>
                  <m:r>
                    <m:rPr>
                      <m:sty m:val="bi"/>
                    </m:rPr>
                    <w:rPr>
                      <w:rFonts w:ascii="Cambria Math" w:eastAsiaTheme="minorEastAsia" w:hAnsi="Cambria Math" w:cstheme="minorHAnsi"/>
                    </w:rPr>
                    <m:t>n</m:t>
                  </m:r>
                </m:den>
              </m:f>
            </m:oMath>
            <w:r w:rsidRPr="004B2028">
              <w:rPr>
                <w:rFonts w:eastAsiaTheme="minorEastAsia" w:cstheme="minorHAnsi"/>
                <w:b/>
                <w:bCs/>
              </w:rPr>
              <w:t xml:space="preserve"> . </w:t>
            </w:r>
            <w:r w:rsidRPr="004B2028">
              <w:rPr>
                <w:rFonts w:eastAsiaTheme="minorEastAsia" w:cstheme="minorHAnsi"/>
                <w:bCs/>
              </w:rPr>
              <w:t>Εκτίμηση της ακρίβειας της μεθόδου ακινητοποίησης.</w:t>
            </w:r>
          </w:p>
        </w:tc>
        <w:tc>
          <w:tcPr>
            <w:tcW w:w="1559" w:type="dxa"/>
            <w:vAlign w:val="center"/>
          </w:tcPr>
          <w:p w14:paraId="4E2DED34" w14:textId="77777777" w:rsidR="0017233C" w:rsidRPr="004B2028" w:rsidRDefault="0017233C" w:rsidP="00000A36">
            <w:pPr>
              <w:spacing w:after="240" w:line="480" w:lineRule="auto"/>
              <w:jc w:val="center"/>
              <w:rPr>
                <w:rFonts w:eastAsiaTheme="minorEastAsia" w:cstheme="minorHAnsi"/>
                <w:bCs/>
              </w:rPr>
            </w:pPr>
            <w:r w:rsidRPr="004B2028">
              <w:rPr>
                <w:rFonts w:eastAsiaTheme="minorEastAsia" w:cstheme="minorHAnsi"/>
                <w:bCs/>
              </w:rPr>
              <w:t>Συστηματικό</w:t>
            </w:r>
          </w:p>
        </w:tc>
      </w:tr>
      <w:tr w:rsidR="0017233C" w:rsidRPr="004B2028" w14:paraId="035081D2" w14:textId="77777777" w:rsidTr="0017233C">
        <w:trPr>
          <w:jc w:val="center"/>
        </w:trPr>
        <w:tc>
          <w:tcPr>
            <w:tcW w:w="2405" w:type="dxa"/>
            <w:vAlign w:val="center"/>
          </w:tcPr>
          <w:p w14:paraId="1F983A24" w14:textId="77777777" w:rsidR="0017233C" w:rsidRPr="004B2028" w:rsidRDefault="0017233C" w:rsidP="00000A36">
            <w:pPr>
              <w:spacing w:after="240" w:line="480" w:lineRule="auto"/>
              <w:jc w:val="center"/>
              <w:rPr>
                <w:rFonts w:eastAsiaTheme="minorEastAsia" w:cstheme="minorHAnsi"/>
                <w:bCs/>
              </w:rPr>
            </w:pPr>
            <w:r w:rsidRPr="004B2028">
              <w:rPr>
                <w:rFonts w:eastAsiaTheme="minorEastAsia" w:cstheme="minorHAnsi"/>
                <w:bCs/>
              </w:rPr>
              <w:t>Τυπική απόκλιση  (</w:t>
            </w:r>
            <w:r w:rsidRPr="004B2028">
              <w:rPr>
                <w:rFonts w:eastAsiaTheme="minorEastAsia" w:cstheme="minorHAnsi"/>
                <w:bCs/>
                <w:lang w:val="en-US"/>
              </w:rPr>
              <w:t>SD</w:t>
            </w:r>
            <w:r w:rsidRPr="004B2028">
              <w:rPr>
                <w:rFonts w:eastAsiaTheme="minorEastAsia" w:cstheme="minorHAnsi"/>
                <w:bCs/>
              </w:rPr>
              <w:t>) των μέσων τιμών ανά ασθενή (Σ)</w:t>
            </w:r>
          </w:p>
        </w:tc>
        <w:tc>
          <w:tcPr>
            <w:tcW w:w="5103" w:type="dxa"/>
            <w:vAlign w:val="center"/>
          </w:tcPr>
          <w:p w14:paraId="2DFB423C" w14:textId="77777777" w:rsidR="0017233C" w:rsidRPr="004B2028" w:rsidRDefault="0017233C" w:rsidP="00000A36">
            <w:pPr>
              <w:spacing w:after="240" w:line="480" w:lineRule="auto"/>
              <w:jc w:val="center"/>
              <w:rPr>
                <w:rFonts w:eastAsiaTheme="minorEastAsia" w:cstheme="minorHAnsi"/>
                <w:bCs/>
              </w:rPr>
            </w:pPr>
            <w:r w:rsidRPr="004B2028">
              <w:rPr>
                <w:rFonts w:eastAsiaTheme="minorEastAsia" w:cstheme="minorHAnsi"/>
                <w:bCs/>
              </w:rPr>
              <w:t>Διασπορά των τιμών του δείγματος και ανάδειξη της επαναληψιμότητας της ακτινοθεραπευτικής διαδικασίας.</w:t>
            </w:r>
          </w:p>
        </w:tc>
        <w:tc>
          <w:tcPr>
            <w:tcW w:w="1559" w:type="dxa"/>
            <w:vAlign w:val="center"/>
          </w:tcPr>
          <w:p w14:paraId="1B28B265" w14:textId="77777777" w:rsidR="0017233C" w:rsidRPr="004B2028" w:rsidRDefault="0017233C" w:rsidP="00000A36">
            <w:pPr>
              <w:spacing w:after="240" w:line="480" w:lineRule="auto"/>
              <w:jc w:val="center"/>
              <w:rPr>
                <w:rFonts w:eastAsiaTheme="minorEastAsia" w:cstheme="minorHAnsi"/>
                <w:bCs/>
              </w:rPr>
            </w:pPr>
            <w:r w:rsidRPr="004B2028">
              <w:rPr>
                <w:rFonts w:eastAsiaTheme="minorEastAsia" w:cstheme="minorHAnsi"/>
                <w:bCs/>
              </w:rPr>
              <w:t>Συστηματικό</w:t>
            </w:r>
          </w:p>
        </w:tc>
      </w:tr>
      <w:tr w:rsidR="0017233C" w:rsidRPr="004B2028" w14:paraId="70C33937" w14:textId="77777777" w:rsidTr="0017233C">
        <w:trPr>
          <w:jc w:val="center"/>
        </w:trPr>
        <w:tc>
          <w:tcPr>
            <w:tcW w:w="2405" w:type="dxa"/>
            <w:vAlign w:val="center"/>
          </w:tcPr>
          <w:p w14:paraId="42910073" w14:textId="77777777" w:rsidR="0017233C" w:rsidRPr="004B2028" w:rsidRDefault="0017233C" w:rsidP="00000A36">
            <w:pPr>
              <w:spacing w:after="240" w:line="480" w:lineRule="auto"/>
              <w:jc w:val="center"/>
              <w:rPr>
                <w:rFonts w:eastAsiaTheme="minorEastAsia" w:cstheme="minorHAnsi"/>
                <w:bCs/>
                <w:lang w:val="en-US"/>
              </w:rPr>
            </w:pPr>
            <w:r w:rsidRPr="004B2028">
              <w:rPr>
                <w:rFonts w:eastAsiaTheme="minorEastAsia" w:cstheme="minorHAnsi"/>
                <w:bCs/>
                <w:lang w:val="en-US"/>
              </w:rPr>
              <w:t xml:space="preserve">Root Mean Square </w:t>
            </w:r>
            <w:r w:rsidRPr="004B2028">
              <w:rPr>
                <w:rFonts w:eastAsiaTheme="minorEastAsia" w:cstheme="minorHAnsi"/>
                <w:bCs/>
              </w:rPr>
              <w:t>των</w:t>
            </w:r>
            <w:r w:rsidRPr="004B2028">
              <w:rPr>
                <w:rFonts w:eastAsiaTheme="minorEastAsia" w:cstheme="minorHAnsi"/>
                <w:bCs/>
                <w:lang w:val="en-US"/>
              </w:rPr>
              <w:t xml:space="preserve">SD </w:t>
            </w:r>
            <w:r w:rsidRPr="004B2028">
              <w:rPr>
                <w:rFonts w:eastAsiaTheme="minorEastAsia" w:cstheme="minorHAnsi"/>
                <w:bCs/>
              </w:rPr>
              <w:t>ανά</w:t>
            </w:r>
            <w:r w:rsidRPr="004B2028">
              <w:rPr>
                <w:rFonts w:eastAsiaTheme="minorEastAsia" w:cstheme="minorHAnsi"/>
                <w:bCs/>
                <w:lang w:val="en-US"/>
              </w:rPr>
              <w:t xml:space="preserve"> </w:t>
            </w:r>
            <w:r w:rsidRPr="004B2028">
              <w:rPr>
                <w:rFonts w:eastAsiaTheme="minorEastAsia" w:cstheme="minorHAnsi"/>
                <w:bCs/>
              </w:rPr>
              <w:t>ασθενή</w:t>
            </w:r>
            <w:r w:rsidRPr="004B2028">
              <w:rPr>
                <w:rFonts w:eastAsiaTheme="minorEastAsia" w:cstheme="minorHAnsi"/>
                <w:bCs/>
                <w:lang w:val="en-US"/>
              </w:rPr>
              <w:t xml:space="preserve"> (</w:t>
            </w:r>
            <w:r w:rsidRPr="004B2028">
              <w:rPr>
                <w:rFonts w:eastAsiaTheme="minorEastAsia" w:cstheme="minorHAnsi"/>
                <w:bCs/>
              </w:rPr>
              <w:t>σ</w:t>
            </w:r>
            <w:r w:rsidRPr="004B2028">
              <w:rPr>
                <w:rFonts w:eastAsiaTheme="minorEastAsia" w:cstheme="minorHAnsi"/>
                <w:bCs/>
                <w:lang w:val="en-US"/>
              </w:rPr>
              <w:t>)</w:t>
            </w:r>
          </w:p>
        </w:tc>
        <w:tc>
          <w:tcPr>
            <w:tcW w:w="5103" w:type="dxa"/>
            <w:vAlign w:val="center"/>
          </w:tcPr>
          <w:p w14:paraId="4FCB073B" w14:textId="77777777" w:rsidR="0017233C" w:rsidRPr="004B2028" w:rsidRDefault="0017233C" w:rsidP="00000A36">
            <w:pPr>
              <w:spacing w:after="240" w:line="480" w:lineRule="auto"/>
              <w:jc w:val="center"/>
              <w:rPr>
                <w:rFonts w:eastAsiaTheme="minorEastAsia" w:cstheme="minorHAnsi"/>
                <w:bCs/>
              </w:rPr>
            </w:pPr>
            <w:r w:rsidRPr="004B2028">
              <w:rPr>
                <w:rFonts w:eastAsiaTheme="minorEastAsia" w:cstheme="minorHAnsi"/>
                <w:bCs/>
              </w:rPr>
              <w:t xml:space="preserve">Έλεγχος των </w:t>
            </w:r>
            <w:r w:rsidRPr="004B2028">
              <w:rPr>
                <w:rFonts w:eastAsiaTheme="minorEastAsia" w:cstheme="minorHAnsi"/>
                <w:bCs/>
                <w:lang w:val="en-US"/>
              </w:rPr>
              <w:t>on</w:t>
            </w:r>
            <w:r w:rsidRPr="004B2028">
              <w:rPr>
                <w:rFonts w:eastAsiaTheme="minorEastAsia" w:cstheme="minorHAnsi"/>
                <w:bCs/>
              </w:rPr>
              <w:t>-</w:t>
            </w:r>
            <w:r w:rsidRPr="004B2028">
              <w:rPr>
                <w:rFonts w:eastAsiaTheme="minorEastAsia" w:cstheme="minorHAnsi"/>
                <w:bCs/>
                <w:lang w:val="en-US"/>
              </w:rPr>
              <w:t>line</w:t>
            </w:r>
            <w:r w:rsidR="00B02A41">
              <w:rPr>
                <w:rFonts w:eastAsiaTheme="minorEastAsia" w:cstheme="minorHAnsi"/>
                <w:bCs/>
              </w:rPr>
              <w:t xml:space="preserve"> </w:t>
            </w:r>
            <w:r w:rsidRPr="004B2028">
              <w:rPr>
                <w:rFonts w:eastAsiaTheme="minorEastAsia" w:cstheme="minorHAnsi"/>
                <w:bCs/>
              </w:rPr>
              <w:t xml:space="preserve">σφαλμάτων </w:t>
            </w:r>
            <m:oMath>
              <m:r>
                <m:rPr>
                  <m:sty m:val="bi"/>
                </m:rPr>
                <w:rPr>
                  <w:rFonts w:ascii="Cambria Math" w:eastAsiaTheme="minorEastAsia" w:hAnsi="Cambria Math" w:cstheme="minorHAnsi"/>
                </w:rPr>
                <m:t>σ</m:t>
              </m:r>
              <m:r>
                <m:rPr>
                  <m:sty m:val="bi"/>
                </m:rPr>
                <w:rPr>
                  <w:rFonts w:ascii="Cambria Math" w:eastAsiaTheme="minorEastAsia" w:cstheme="minorHAnsi"/>
                </w:rPr>
                <m:t xml:space="preserve">= </m:t>
              </m:r>
              <m:rad>
                <m:radPr>
                  <m:degHide m:val="1"/>
                  <m:ctrlPr>
                    <w:rPr>
                      <w:rFonts w:ascii="Cambria Math" w:eastAsiaTheme="minorEastAsia" w:hAnsi="Cambria Math" w:cstheme="minorHAnsi"/>
                      <w:b/>
                      <w:bCs/>
                      <w:i/>
                    </w:rPr>
                  </m:ctrlPr>
                </m:radPr>
                <m:deg/>
                <m:e>
                  <m:f>
                    <m:fPr>
                      <m:ctrlPr>
                        <w:rPr>
                          <w:rFonts w:ascii="Cambria Math" w:eastAsiaTheme="minorEastAsia" w:hAnsi="Cambria Math" w:cstheme="minorHAnsi"/>
                          <w:b/>
                          <w:bCs/>
                          <w:i/>
                        </w:rPr>
                      </m:ctrlPr>
                    </m:fPr>
                    <m:num>
                      <m:r>
                        <m:rPr>
                          <m:sty m:val="bi"/>
                        </m:rPr>
                        <w:rPr>
                          <w:rFonts w:ascii="Cambria Math" w:eastAsiaTheme="minorEastAsia" w:hAnsi="Cambria Math" w:cstheme="minorHAnsi"/>
                        </w:rPr>
                        <m:t>Σ</m:t>
                      </m:r>
                      <m:r>
                        <m:rPr>
                          <m:sty m:val="bi"/>
                        </m:rPr>
                        <w:rPr>
                          <w:rFonts w:ascii="Cambria Math" w:eastAsiaTheme="minorEastAsia" w:hAnsi="Cambria Math" w:cstheme="minorHAnsi"/>
                          <w:lang w:val="en-US"/>
                        </w:rPr>
                        <m:t>nS</m:t>
                      </m:r>
                      <m:sSup>
                        <m:sSupPr>
                          <m:ctrlPr>
                            <w:rPr>
                              <w:rFonts w:ascii="Cambria Math" w:eastAsiaTheme="minorEastAsia" w:hAnsi="Cambria Math" w:cstheme="minorHAnsi"/>
                              <w:b/>
                              <w:bCs/>
                              <w:i/>
                              <w:lang w:val="en-US"/>
                            </w:rPr>
                          </m:ctrlPr>
                        </m:sSupPr>
                        <m:e>
                          <m:r>
                            <m:rPr>
                              <m:sty m:val="bi"/>
                            </m:rPr>
                            <w:rPr>
                              <w:rFonts w:ascii="Cambria Math" w:eastAsiaTheme="minorEastAsia" w:hAnsi="Cambria Math" w:cstheme="minorHAnsi"/>
                              <w:lang w:val="en-US"/>
                            </w:rPr>
                            <m:t>D</m:t>
                          </m:r>
                        </m:e>
                        <m:sup>
                          <m:r>
                            <m:rPr>
                              <m:sty m:val="bi"/>
                            </m:rPr>
                            <w:rPr>
                              <w:rFonts w:ascii="Cambria Math" w:eastAsiaTheme="minorEastAsia" w:hAnsi="Cambria Math" w:cstheme="minorHAnsi"/>
                              <w:lang w:val="en-US"/>
                            </w:rPr>
                            <m:t>2</m:t>
                          </m:r>
                        </m:sup>
                      </m:sSup>
                    </m:num>
                    <m:den>
                      <m:r>
                        <m:rPr>
                          <m:sty m:val="bi"/>
                        </m:rPr>
                        <w:rPr>
                          <w:rFonts w:ascii="Cambria Math" w:eastAsiaTheme="minorEastAsia" w:hAnsi="Cambria Math" w:cstheme="minorHAnsi"/>
                        </w:rPr>
                        <m:t>n</m:t>
                      </m:r>
                    </m:den>
                  </m:f>
                </m:e>
              </m:rad>
            </m:oMath>
          </w:p>
        </w:tc>
        <w:tc>
          <w:tcPr>
            <w:tcW w:w="1559" w:type="dxa"/>
            <w:vAlign w:val="center"/>
          </w:tcPr>
          <w:p w14:paraId="3AE14FE8" w14:textId="77777777" w:rsidR="0017233C" w:rsidRPr="004B2028" w:rsidRDefault="0017233C" w:rsidP="00000A36">
            <w:pPr>
              <w:spacing w:after="240" w:line="480" w:lineRule="auto"/>
              <w:jc w:val="center"/>
              <w:rPr>
                <w:rFonts w:eastAsiaTheme="minorEastAsia" w:cstheme="minorHAnsi"/>
                <w:bCs/>
              </w:rPr>
            </w:pPr>
            <w:r w:rsidRPr="004B2028">
              <w:rPr>
                <w:rFonts w:eastAsiaTheme="minorEastAsia" w:cstheme="minorHAnsi"/>
                <w:bCs/>
              </w:rPr>
              <w:t>Τυχαίο</w:t>
            </w:r>
          </w:p>
        </w:tc>
      </w:tr>
    </w:tbl>
    <w:p w14:paraId="0C76ED31" w14:textId="77777777" w:rsidR="00000A36" w:rsidRPr="004B2028" w:rsidRDefault="00000A36" w:rsidP="00000A36">
      <w:pPr>
        <w:spacing w:line="360" w:lineRule="auto"/>
        <w:rPr>
          <w:rFonts w:cstheme="minorHAnsi"/>
          <w:b/>
          <w:bCs/>
          <w:lang w:val="en-US"/>
        </w:rPr>
      </w:pPr>
    </w:p>
    <w:p w14:paraId="49762E2B" w14:textId="77777777" w:rsidR="00000A36" w:rsidRPr="004B2028" w:rsidRDefault="0017233C" w:rsidP="00000A36">
      <w:pPr>
        <w:spacing w:line="360" w:lineRule="auto"/>
        <w:rPr>
          <w:rFonts w:cstheme="minorHAnsi"/>
          <w:bCs/>
        </w:rPr>
      </w:pPr>
      <w:r w:rsidRPr="004B2028">
        <w:rPr>
          <w:rFonts w:cstheme="minorHAnsi"/>
          <w:b/>
          <w:bCs/>
        </w:rPr>
        <w:t>Πίνακας 1 - Μέτρα διασποράς/Σφάλματα:</w:t>
      </w:r>
      <w:r w:rsidR="00000A36" w:rsidRPr="004B2028">
        <w:rPr>
          <w:rFonts w:cstheme="minorHAnsi"/>
          <w:b/>
          <w:bCs/>
        </w:rPr>
        <w:t xml:space="preserve"> </w:t>
      </w:r>
      <w:r w:rsidRPr="004B2028">
        <w:rPr>
          <w:rFonts w:cstheme="minorHAnsi"/>
          <w:bCs/>
        </w:rPr>
        <w:t>Στον πίνακα αναγράφονται τα μέτρα διασποράς που θα χρησιμοποιηθούν για την μελέτη εκφράζοντας την ύπαρξη συστηματικού ή τυχαίο</w:t>
      </w:r>
      <w:r w:rsidR="00000A36" w:rsidRPr="004B2028">
        <w:rPr>
          <w:rFonts w:cstheme="minorHAnsi"/>
          <w:bCs/>
        </w:rPr>
        <w:t>υ σφάλματος.</w:t>
      </w:r>
    </w:p>
    <w:p w14:paraId="55D5F865" w14:textId="77777777" w:rsidR="0017233C" w:rsidRPr="004B2028" w:rsidRDefault="00000A36" w:rsidP="00000A36">
      <w:pPr>
        <w:spacing w:line="360" w:lineRule="auto"/>
        <w:rPr>
          <w:rFonts w:cstheme="minorHAnsi"/>
          <w:bCs/>
          <w:lang w:val="en-US"/>
        </w:rPr>
      </w:pPr>
      <w:r w:rsidRPr="004B2028">
        <w:rPr>
          <w:rFonts w:cstheme="minorHAnsi"/>
          <w:bCs/>
          <w:lang w:val="en-US"/>
        </w:rPr>
        <w:t>(</w:t>
      </w:r>
      <w:r w:rsidRPr="004B2028">
        <w:rPr>
          <w:rFonts w:cstheme="minorHAnsi"/>
          <w:bCs/>
          <w:i/>
        </w:rPr>
        <w:t>Π</w:t>
      </w:r>
      <w:r w:rsidR="0017233C" w:rsidRPr="004B2028">
        <w:rPr>
          <w:rFonts w:cstheme="minorHAnsi"/>
          <w:bCs/>
          <w:i/>
        </w:rPr>
        <w:t>ηγή</w:t>
      </w:r>
      <w:r w:rsidRPr="004B2028">
        <w:rPr>
          <w:rFonts w:cstheme="minorHAnsi"/>
          <w:bCs/>
          <w:i/>
          <w:lang w:val="en-US"/>
        </w:rPr>
        <w:t xml:space="preserve"> </w:t>
      </w:r>
      <w:r w:rsidRPr="004B2028">
        <w:rPr>
          <w:rFonts w:cstheme="minorHAnsi"/>
          <w:bCs/>
          <w:i/>
        </w:rPr>
        <w:t>αναφοράς</w:t>
      </w:r>
      <w:r w:rsidR="0017233C" w:rsidRPr="004B2028">
        <w:rPr>
          <w:rFonts w:cstheme="minorHAnsi"/>
          <w:bCs/>
          <w:i/>
          <w:lang w:val="en-US"/>
        </w:rPr>
        <w:t>:</w:t>
      </w:r>
      <w:r w:rsidR="0017233C" w:rsidRPr="004B2028">
        <w:rPr>
          <w:rFonts w:cstheme="minorHAnsi"/>
          <w:bCs/>
          <w:lang w:val="en-US"/>
        </w:rPr>
        <w:t xml:space="preserve"> IPEM-On</w:t>
      </w:r>
      <w:r w:rsidRPr="004B2028">
        <w:rPr>
          <w:rFonts w:cstheme="minorHAnsi"/>
          <w:bCs/>
          <w:lang w:val="en-US"/>
        </w:rPr>
        <w:t xml:space="preserve"> </w:t>
      </w:r>
      <w:r w:rsidR="0017233C" w:rsidRPr="004B2028">
        <w:rPr>
          <w:rFonts w:cstheme="minorHAnsi"/>
          <w:bCs/>
          <w:lang w:val="en-US"/>
        </w:rPr>
        <w:t>target: ensuring geometric accuracy in radiotherapy).</w:t>
      </w:r>
    </w:p>
    <w:p w14:paraId="0CA70D31" w14:textId="77777777" w:rsidR="00000A36" w:rsidRPr="004B2028" w:rsidRDefault="000849AD" w:rsidP="00D32416">
      <w:pPr>
        <w:pStyle w:val="headinganchor"/>
        <w:shd w:val="clear" w:color="auto" w:fill="FFFFFF"/>
        <w:spacing w:after="0" w:line="360" w:lineRule="auto"/>
        <w:rPr>
          <w:rFonts w:asciiTheme="minorHAnsi" w:hAnsiTheme="minorHAnsi" w:cstheme="minorHAnsi"/>
          <w:i/>
          <w:color w:val="232323"/>
          <w:sz w:val="22"/>
          <w:szCs w:val="22"/>
        </w:rPr>
      </w:pPr>
      <w:r w:rsidRPr="004B2028">
        <w:rPr>
          <w:rFonts w:asciiTheme="minorHAnsi" w:hAnsiTheme="minorHAnsi" w:cstheme="minorHAnsi"/>
          <w:b/>
          <w:i/>
          <w:color w:val="232323"/>
          <w:sz w:val="22"/>
          <w:szCs w:val="22"/>
        </w:rPr>
        <w:lastRenderedPageBreak/>
        <w:t>Σκοπός της παρούσας μελέτης</w:t>
      </w:r>
      <w:r w:rsidRPr="004B2028">
        <w:rPr>
          <w:rFonts w:asciiTheme="minorHAnsi" w:hAnsiTheme="minorHAnsi" w:cstheme="minorHAnsi"/>
          <w:i/>
          <w:color w:val="232323"/>
          <w:sz w:val="22"/>
          <w:szCs w:val="22"/>
        </w:rPr>
        <w:t xml:space="preserve"> </w:t>
      </w:r>
    </w:p>
    <w:p w14:paraId="7FB1C3C0" w14:textId="3F26BD8B" w:rsidR="00000A36" w:rsidRPr="004B2028" w:rsidRDefault="00000A36" w:rsidP="00000A36">
      <w:pPr>
        <w:pStyle w:val="headinganchor"/>
        <w:shd w:val="clear" w:color="auto" w:fill="FFFFFF"/>
        <w:spacing w:after="0" w:line="360" w:lineRule="auto"/>
        <w:ind w:firstLine="720"/>
        <w:rPr>
          <w:rFonts w:asciiTheme="minorHAnsi" w:hAnsiTheme="minorHAnsi" w:cstheme="minorHAnsi"/>
          <w:color w:val="232323"/>
          <w:sz w:val="22"/>
          <w:szCs w:val="22"/>
        </w:rPr>
      </w:pPr>
      <w:r w:rsidRPr="004B2028">
        <w:rPr>
          <w:rFonts w:asciiTheme="minorHAnsi" w:hAnsiTheme="minorHAnsi" w:cstheme="minorHAnsi"/>
          <w:color w:val="232323"/>
          <w:sz w:val="22"/>
          <w:szCs w:val="22"/>
        </w:rPr>
        <w:t>Θα γίνει ανάλυση καταγεγραμμένων δεδομένων μετατόπισης, βασισμένων σε on-line 3D-3D ευθυγράμμιση. Τα δεδομένα θα είναι ανώνυμα και θα αφ</w:t>
      </w:r>
      <w:r w:rsidR="003745A2">
        <w:rPr>
          <w:rFonts w:asciiTheme="minorHAnsi" w:hAnsiTheme="minorHAnsi" w:cstheme="minorHAnsi"/>
          <w:color w:val="232323"/>
          <w:sz w:val="22"/>
          <w:szCs w:val="22"/>
        </w:rPr>
        <w:t>ορούν ασθενείς που θα υποβληθού</w:t>
      </w:r>
      <w:r w:rsidRPr="004B2028">
        <w:rPr>
          <w:rFonts w:asciiTheme="minorHAnsi" w:hAnsiTheme="minorHAnsi" w:cstheme="minorHAnsi"/>
          <w:color w:val="232323"/>
          <w:sz w:val="22"/>
          <w:szCs w:val="22"/>
        </w:rPr>
        <w:t>ν σε ακτινοθεραπεία της περιοχής του προστάτη</w:t>
      </w:r>
      <w:r w:rsidR="00F70076">
        <w:rPr>
          <w:rFonts w:asciiTheme="minorHAnsi" w:hAnsiTheme="minorHAnsi" w:cstheme="minorHAnsi"/>
          <w:color w:val="232323"/>
          <w:sz w:val="22"/>
          <w:szCs w:val="22"/>
        </w:rPr>
        <w:t xml:space="preserve"> κατόπιν πλήρ</w:t>
      </w:r>
      <w:r w:rsidR="00214A7F">
        <w:rPr>
          <w:rFonts w:asciiTheme="minorHAnsi" w:hAnsiTheme="minorHAnsi" w:cstheme="minorHAnsi"/>
          <w:color w:val="232323"/>
          <w:sz w:val="22"/>
          <w:szCs w:val="22"/>
        </w:rPr>
        <w:t>ου</w:t>
      </w:r>
      <w:r w:rsidR="00F70076">
        <w:rPr>
          <w:rFonts w:asciiTheme="minorHAnsi" w:hAnsiTheme="minorHAnsi" w:cstheme="minorHAnsi"/>
          <w:color w:val="232323"/>
          <w:sz w:val="22"/>
          <w:szCs w:val="22"/>
        </w:rPr>
        <w:t>ς ενημερωμένης συγκατάθεσης για εισαγωγή στη μελέτη</w:t>
      </w:r>
      <w:r w:rsidRPr="004B2028">
        <w:rPr>
          <w:rFonts w:asciiTheme="minorHAnsi" w:hAnsiTheme="minorHAnsi" w:cstheme="minorHAnsi"/>
          <w:color w:val="232323"/>
          <w:sz w:val="22"/>
          <w:szCs w:val="22"/>
        </w:rPr>
        <w:t xml:space="preserve">. </w:t>
      </w:r>
    </w:p>
    <w:p w14:paraId="61AF8A5E" w14:textId="77777777" w:rsidR="00000A36" w:rsidRPr="004B2028" w:rsidRDefault="008C75DA" w:rsidP="008C75DA">
      <w:pPr>
        <w:pStyle w:val="headinganchor"/>
        <w:shd w:val="clear" w:color="auto" w:fill="FFFFFF"/>
        <w:spacing w:after="0" w:line="360" w:lineRule="auto"/>
        <w:ind w:firstLine="720"/>
        <w:rPr>
          <w:rFonts w:asciiTheme="minorHAnsi" w:hAnsiTheme="minorHAnsi" w:cstheme="minorHAnsi"/>
          <w:color w:val="232323"/>
          <w:sz w:val="22"/>
          <w:szCs w:val="22"/>
        </w:rPr>
      </w:pPr>
      <w:r w:rsidRPr="004B2028">
        <w:rPr>
          <w:rFonts w:asciiTheme="minorHAnsi" w:hAnsiTheme="minorHAnsi" w:cstheme="minorHAnsi"/>
          <w:color w:val="232323"/>
          <w:sz w:val="22"/>
          <w:szCs w:val="22"/>
        </w:rPr>
        <w:t xml:space="preserve">Η προς ακτινοβόληση περιοχή, θα σχεδιασθεί με την ενσωμάτωση της μαγνητικής τομογραφίας (MRI), στο σχεδιασμό του πλάνου θεραπείας. Η </w:t>
      </w:r>
      <w:r w:rsidRPr="004B2028">
        <w:rPr>
          <w:rFonts w:asciiTheme="minorHAnsi" w:hAnsiTheme="minorHAnsi" w:cstheme="minorHAnsi"/>
          <w:color w:val="232323"/>
          <w:sz w:val="22"/>
          <w:szCs w:val="22"/>
          <w:lang w:val="en-US"/>
        </w:rPr>
        <w:t>MRI</w:t>
      </w:r>
      <w:r w:rsidRPr="004B2028">
        <w:rPr>
          <w:rFonts w:asciiTheme="minorHAnsi" w:hAnsiTheme="minorHAnsi" w:cstheme="minorHAnsi"/>
          <w:color w:val="232323"/>
          <w:sz w:val="22"/>
          <w:szCs w:val="22"/>
        </w:rPr>
        <w:t xml:space="preserve"> αποτελεί τη διαγνωστική μέθοδο εκλογής, διότι απεικονίζει με μεγαλύτερη ακρίβεια τον προστατικό αδένα, τις σπερματοδόχες κύστε</w:t>
      </w:r>
      <w:r w:rsidR="007D1B89">
        <w:rPr>
          <w:rFonts w:asciiTheme="minorHAnsi" w:hAnsiTheme="minorHAnsi" w:cstheme="minorHAnsi"/>
          <w:color w:val="232323"/>
          <w:sz w:val="22"/>
          <w:szCs w:val="22"/>
        </w:rPr>
        <w:t>ι</w:t>
      </w:r>
      <w:r w:rsidRPr="004B2028">
        <w:rPr>
          <w:rFonts w:asciiTheme="minorHAnsi" w:hAnsiTheme="minorHAnsi" w:cstheme="minorHAnsi"/>
          <w:color w:val="232323"/>
          <w:sz w:val="22"/>
          <w:szCs w:val="22"/>
        </w:rPr>
        <w:t>ς, τους περιοχικούς λεμφαδένες και τα γειτονικά μαλακά μόρια.</w:t>
      </w:r>
    </w:p>
    <w:p w14:paraId="265C2E76" w14:textId="77777777" w:rsidR="0065784A" w:rsidRPr="004B2028" w:rsidRDefault="0065784A" w:rsidP="008C75DA">
      <w:pPr>
        <w:pStyle w:val="headinganchor"/>
        <w:shd w:val="clear" w:color="auto" w:fill="FFFFFF"/>
        <w:spacing w:after="0" w:line="360" w:lineRule="auto"/>
        <w:ind w:firstLine="720"/>
        <w:rPr>
          <w:rFonts w:asciiTheme="minorHAnsi" w:hAnsiTheme="minorHAnsi" w:cstheme="minorHAnsi"/>
          <w:color w:val="232323"/>
          <w:sz w:val="22"/>
          <w:szCs w:val="22"/>
        </w:rPr>
      </w:pPr>
      <w:r w:rsidRPr="004B2028">
        <w:rPr>
          <w:rFonts w:asciiTheme="minorHAnsi" w:hAnsiTheme="minorHAnsi" w:cstheme="minorHAnsi"/>
          <w:color w:val="232323"/>
          <w:sz w:val="22"/>
          <w:szCs w:val="22"/>
        </w:rPr>
        <w:t xml:space="preserve">Ο κάθε ασθενής θα τοποθετείται από τον τεχνολόγο-ακτινολόγο, σε ύπτια θέση, </w:t>
      </w:r>
      <w:r w:rsidR="00EF6A1F" w:rsidRPr="004B2028">
        <w:rPr>
          <w:rFonts w:asciiTheme="minorHAnsi" w:hAnsiTheme="minorHAnsi" w:cstheme="minorHAnsi"/>
          <w:color w:val="232323"/>
          <w:sz w:val="22"/>
          <w:szCs w:val="22"/>
        </w:rPr>
        <w:t xml:space="preserve">τα χέρια θα τοποθετούνται στο στήθος. Ο ασθενής θα πρέπει να υποβληθεί σε θεραπεία </w:t>
      </w:r>
      <w:r w:rsidRPr="004B2028">
        <w:rPr>
          <w:rFonts w:asciiTheme="minorHAnsi" w:hAnsiTheme="minorHAnsi" w:cstheme="minorHAnsi"/>
          <w:color w:val="232323"/>
          <w:sz w:val="22"/>
          <w:szCs w:val="22"/>
        </w:rPr>
        <w:t xml:space="preserve">με γεμάτη κύστη (μισή ώρα πριν, μισό λίτρο νερό, αφού έχει προηγουμένως αδειάσει την κύστη του, για διασφάλιση της </w:t>
      </w:r>
      <w:r w:rsidR="00EF6A1F" w:rsidRPr="004B2028">
        <w:rPr>
          <w:rFonts w:asciiTheme="minorHAnsi" w:hAnsiTheme="minorHAnsi" w:cstheme="minorHAnsi"/>
          <w:color w:val="232323"/>
          <w:sz w:val="22"/>
          <w:szCs w:val="22"/>
        </w:rPr>
        <w:t xml:space="preserve">επαναληψιμότητας). Για πιο αναπαυτική θέση και μεγαλύτερη ακινητοποίηση, θα γίνει χρήση του </w:t>
      </w:r>
      <w:r w:rsidR="00EF6A1F" w:rsidRPr="004B2028">
        <w:rPr>
          <w:rFonts w:asciiTheme="minorHAnsi" w:hAnsiTheme="minorHAnsi" w:cstheme="minorHAnsi"/>
          <w:color w:val="232323"/>
          <w:sz w:val="22"/>
          <w:szCs w:val="22"/>
          <w:lang w:val="en-US"/>
        </w:rPr>
        <w:t>knee</w:t>
      </w:r>
      <w:r w:rsidR="00EF6A1F" w:rsidRPr="004B2028">
        <w:rPr>
          <w:rFonts w:asciiTheme="minorHAnsi" w:hAnsiTheme="minorHAnsi" w:cstheme="minorHAnsi"/>
          <w:color w:val="232323"/>
          <w:sz w:val="22"/>
          <w:szCs w:val="22"/>
        </w:rPr>
        <w:t xml:space="preserve"> </w:t>
      </w:r>
      <w:r w:rsidR="00EF6A1F" w:rsidRPr="004B2028">
        <w:rPr>
          <w:rFonts w:asciiTheme="minorHAnsi" w:hAnsiTheme="minorHAnsi" w:cstheme="minorHAnsi"/>
          <w:color w:val="232323"/>
          <w:sz w:val="22"/>
          <w:szCs w:val="22"/>
          <w:lang w:val="en-US"/>
        </w:rPr>
        <w:t>fix</w:t>
      </w:r>
      <w:r w:rsidR="00EF6A1F" w:rsidRPr="004B2028">
        <w:rPr>
          <w:rFonts w:asciiTheme="minorHAnsi" w:hAnsiTheme="minorHAnsi" w:cstheme="minorHAnsi"/>
          <w:color w:val="232323"/>
          <w:sz w:val="22"/>
          <w:szCs w:val="22"/>
        </w:rPr>
        <w:t xml:space="preserve"> συστήματος. </w:t>
      </w:r>
    </w:p>
    <w:p w14:paraId="396F3770" w14:textId="77777777" w:rsidR="00000A36" w:rsidRPr="004B2028" w:rsidRDefault="00000A36" w:rsidP="008C75DA">
      <w:pPr>
        <w:pStyle w:val="headinganchor"/>
        <w:shd w:val="clear" w:color="auto" w:fill="FFFFFF"/>
        <w:spacing w:after="0" w:line="360" w:lineRule="auto"/>
        <w:ind w:firstLine="720"/>
        <w:rPr>
          <w:rFonts w:asciiTheme="minorHAnsi" w:hAnsiTheme="minorHAnsi" w:cstheme="minorHAnsi"/>
          <w:color w:val="232323"/>
          <w:sz w:val="22"/>
          <w:szCs w:val="22"/>
        </w:rPr>
      </w:pPr>
      <w:r w:rsidRPr="004B2028">
        <w:rPr>
          <w:rFonts w:asciiTheme="minorHAnsi" w:hAnsiTheme="minorHAnsi" w:cstheme="minorHAnsi"/>
          <w:color w:val="232323"/>
          <w:sz w:val="22"/>
          <w:szCs w:val="22"/>
        </w:rPr>
        <w:t>Τα δεδομένα on-line ευθυγράμμισης θα ελέγχονται με βάση τα διεθνή πρότυπα όσον αφορά την μετατόπιση στους τρείς άξονες θεραπείας (ΠΟ-vertical, ΚΟ-longitude, ΠΠ-lateral). Σύμφωνα με την βιβλιογραφία, η απόκλιση από την θέση θεραπείας που ορίζεται στην εξομοίωση είναι από 2 mm έως 5 mm σε κάθε άξονα.  Θα υπολογίζεται ο μέσος όρος των μετατοπίσεων στον κάθε άξονα όπως και η τυπική απόκλιση. Μέσω αυτών, γίνεται ένας πρώτος έλεγχος εάν η μετατόπιση ξεπερνά τα όρια που έχουν παγκοσμίως  θεσπιστεί.</w:t>
      </w:r>
    </w:p>
    <w:p w14:paraId="7AAEA3F8" w14:textId="315CF18C" w:rsidR="003B3F6C" w:rsidRPr="00D32416" w:rsidRDefault="00232729" w:rsidP="00D60057">
      <w:pPr>
        <w:pStyle w:val="headinganchor"/>
        <w:shd w:val="clear" w:color="auto" w:fill="FFFFFF"/>
        <w:spacing w:line="360" w:lineRule="auto"/>
        <w:ind w:firstLine="720"/>
        <w:rPr>
          <w:rFonts w:asciiTheme="minorHAnsi" w:hAnsiTheme="minorHAnsi" w:cstheme="minorHAnsi"/>
          <w:color w:val="232323"/>
          <w:sz w:val="22"/>
          <w:szCs w:val="22"/>
        </w:rPr>
      </w:pPr>
      <w:r w:rsidRPr="004B2028">
        <w:rPr>
          <w:rFonts w:asciiTheme="minorHAnsi" w:hAnsiTheme="minorHAnsi" w:cstheme="minorHAnsi"/>
          <w:color w:val="232323"/>
          <w:sz w:val="22"/>
          <w:szCs w:val="22"/>
        </w:rPr>
        <w:t xml:space="preserve">Η ποιότητα ζωής των ασθενών που πάσχουν από εντοπισμένο καρκίνο προστάτη και υποβάλλονται σε </w:t>
      </w:r>
      <w:r w:rsidRPr="004B2028">
        <w:rPr>
          <w:rFonts w:asciiTheme="minorHAnsi" w:hAnsiTheme="minorHAnsi" w:cstheme="minorHAnsi"/>
          <w:color w:val="232323"/>
          <w:sz w:val="22"/>
          <w:szCs w:val="22"/>
          <w:lang w:val="en-US"/>
        </w:rPr>
        <w:t>SBRT</w:t>
      </w:r>
      <w:r w:rsidRPr="004B2028">
        <w:rPr>
          <w:rFonts w:asciiTheme="minorHAnsi" w:hAnsiTheme="minorHAnsi" w:cstheme="minorHAnsi"/>
          <w:color w:val="232323"/>
          <w:sz w:val="22"/>
          <w:szCs w:val="22"/>
        </w:rPr>
        <w:t xml:space="preserve"> δεν έχει εκτιμηθεί ευρέως.  Με την παρούσα μελέτη </w:t>
      </w:r>
      <w:r w:rsidR="00D32416" w:rsidRPr="004B2028">
        <w:rPr>
          <w:rFonts w:asciiTheme="minorHAnsi" w:hAnsiTheme="minorHAnsi" w:cstheme="minorHAnsi"/>
          <w:color w:val="232323"/>
          <w:sz w:val="22"/>
          <w:szCs w:val="22"/>
        </w:rPr>
        <w:t xml:space="preserve">παρατήρησης, </w:t>
      </w:r>
      <w:r w:rsidR="00000A36" w:rsidRPr="004B2028">
        <w:rPr>
          <w:rFonts w:asciiTheme="minorHAnsi" w:hAnsiTheme="minorHAnsi" w:cstheme="minorHAnsi"/>
          <w:color w:val="232323"/>
          <w:sz w:val="22"/>
          <w:szCs w:val="22"/>
        </w:rPr>
        <w:t xml:space="preserve">θα πραγματοποιήσουμε </w:t>
      </w:r>
      <w:r w:rsidRPr="004B2028">
        <w:rPr>
          <w:rFonts w:asciiTheme="minorHAnsi" w:hAnsiTheme="minorHAnsi" w:cstheme="minorHAnsi"/>
          <w:color w:val="232323"/>
          <w:sz w:val="22"/>
          <w:szCs w:val="22"/>
        </w:rPr>
        <w:t>αξιολ</w:t>
      </w:r>
      <w:r w:rsidR="000849AD" w:rsidRPr="004B2028">
        <w:rPr>
          <w:rFonts w:asciiTheme="minorHAnsi" w:hAnsiTheme="minorHAnsi" w:cstheme="minorHAnsi"/>
          <w:color w:val="232323"/>
          <w:sz w:val="22"/>
          <w:szCs w:val="22"/>
        </w:rPr>
        <w:t xml:space="preserve">όγηση της ποιότητας ζωής σε </w:t>
      </w:r>
      <w:r w:rsidRPr="004B2028">
        <w:rPr>
          <w:rFonts w:asciiTheme="minorHAnsi" w:hAnsiTheme="minorHAnsi" w:cstheme="minorHAnsi"/>
          <w:color w:val="232323"/>
          <w:sz w:val="22"/>
          <w:szCs w:val="22"/>
        </w:rPr>
        <w:t>αυτή την ομάδα ασθενών. Πιο συγκεκριμένα</w:t>
      </w:r>
      <w:r w:rsidR="007D4423">
        <w:rPr>
          <w:rFonts w:asciiTheme="minorHAnsi" w:hAnsiTheme="minorHAnsi" w:cstheme="minorHAnsi"/>
          <w:color w:val="232323"/>
          <w:sz w:val="22"/>
          <w:szCs w:val="22"/>
        </w:rPr>
        <w:t xml:space="preserve"> θα εκτιμήσουμε συμπτώματα </w:t>
      </w:r>
      <w:r w:rsidRPr="004B2028">
        <w:rPr>
          <w:rFonts w:asciiTheme="minorHAnsi" w:hAnsiTheme="minorHAnsi" w:cstheme="minorHAnsi"/>
          <w:color w:val="232323"/>
          <w:sz w:val="22"/>
          <w:szCs w:val="22"/>
        </w:rPr>
        <w:t>ουροποιητικού</w:t>
      </w:r>
      <w:r w:rsidR="007D4423">
        <w:rPr>
          <w:rFonts w:asciiTheme="minorHAnsi" w:hAnsiTheme="minorHAnsi" w:cstheme="minorHAnsi"/>
          <w:color w:val="232323"/>
          <w:sz w:val="22"/>
          <w:szCs w:val="22"/>
        </w:rPr>
        <w:t xml:space="preserve"> συστήματος</w:t>
      </w:r>
      <w:r w:rsidRPr="004B2028">
        <w:rPr>
          <w:rFonts w:asciiTheme="minorHAnsi" w:hAnsiTheme="minorHAnsi" w:cstheme="minorHAnsi"/>
          <w:color w:val="232323"/>
          <w:sz w:val="22"/>
          <w:szCs w:val="22"/>
        </w:rPr>
        <w:t>, γαστρεντερικού</w:t>
      </w:r>
      <w:r w:rsidR="007D4423">
        <w:rPr>
          <w:rFonts w:asciiTheme="minorHAnsi" w:hAnsiTheme="minorHAnsi" w:cstheme="minorHAnsi"/>
          <w:color w:val="232323"/>
          <w:sz w:val="22"/>
          <w:szCs w:val="22"/>
        </w:rPr>
        <w:t xml:space="preserve"> συστήματος</w:t>
      </w:r>
      <w:r w:rsidRPr="004B2028">
        <w:rPr>
          <w:rFonts w:asciiTheme="minorHAnsi" w:hAnsiTheme="minorHAnsi" w:cstheme="minorHAnsi"/>
          <w:color w:val="232323"/>
          <w:sz w:val="22"/>
          <w:szCs w:val="22"/>
        </w:rPr>
        <w:t xml:space="preserve"> και σεξουαλική</w:t>
      </w:r>
      <w:r w:rsidR="007D4423">
        <w:rPr>
          <w:rFonts w:asciiTheme="minorHAnsi" w:hAnsiTheme="minorHAnsi" w:cstheme="minorHAnsi"/>
          <w:color w:val="232323"/>
          <w:sz w:val="22"/>
          <w:szCs w:val="22"/>
        </w:rPr>
        <w:t>ς</w:t>
      </w:r>
      <w:r w:rsidRPr="004B2028">
        <w:rPr>
          <w:rFonts w:asciiTheme="minorHAnsi" w:hAnsiTheme="minorHAnsi" w:cstheme="minorHAnsi"/>
          <w:color w:val="232323"/>
          <w:sz w:val="22"/>
          <w:szCs w:val="22"/>
        </w:rPr>
        <w:t xml:space="preserve"> λειτουργία</w:t>
      </w:r>
      <w:r w:rsidR="007D4423">
        <w:rPr>
          <w:rFonts w:asciiTheme="minorHAnsi" w:hAnsiTheme="minorHAnsi" w:cstheme="minorHAnsi"/>
          <w:color w:val="232323"/>
          <w:sz w:val="22"/>
          <w:szCs w:val="22"/>
        </w:rPr>
        <w:t>ς</w:t>
      </w:r>
      <w:r w:rsidRPr="004B2028">
        <w:rPr>
          <w:rFonts w:asciiTheme="minorHAnsi" w:hAnsiTheme="minorHAnsi" w:cstheme="minorHAnsi"/>
          <w:color w:val="232323"/>
          <w:sz w:val="22"/>
          <w:szCs w:val="22"/>
        </w:rPr>
        <w:t xml:space="preserve">. Θα διανείμουμε σταθμισμένα ερωτηματολόγια της </w:t>
      </w:r>
      <w:r w:rsidRPr="004B2028">
        <w:rPr>
          <w:rFonts w:asciiTheme="minorHAnsi" w:hAnsiTheme="minorHAnsi" w:cstheme="minorHAnsi"/>
          <w:color w:val="232323"/>
          <w:sz w:val="22"/>
          <w:szCs w:val="22"/>
          <w:lang w:val="en-US"/>
        </w:rPr>
        <w:t>EORTC</w:t>
      </w:r>
      <w:r w:rsidRPr="004B2028">
        <w:rPr>
          <w:rFonts w:asciiTheme="minorHAnsi" w:hAnsiTheme="minorHAnsi" w:cstheme="minorHAnsi"/>
          <w:color w:val="232323"/>
          <w:sz w:val="22"/>
          <w:szCs w:val="22"/>
        </w:rPr>
        <w:t xml:space="preserve"> </w:t>
      </w:r>
      <w:r w:rsidR="000849AD" w:rsidRPr="004B2028">
        <w:rPr>
          <w:rFonts w:asciiTheme="minorHAnsi" w:hAnsiTheme="minorHAnsi" w:cstheme="minorHAnsi"/>
          <w:color w:val="232323"/>
          <w:sz w:val="22"/>
          <w:szCs w:val="22"/>
        </w:rPr>
        <w:t>–</w:t>
      </w:r>
      <w:r w:rsidRPr="004B2028">
        <w:rPr>
          <w:rFonts w:asciiTheme="minorHAnsi" w:hAnsiTheme="minorHAnsi" w:cstheme="minorHAnsi"/>
          <w:color w:val="232323"/>
          <w:sz w:val="22"/>
          <w:szCs w:val="22"/>
        </w:rPr>
        <w:t xml:space="preserve"> </w:t>
      </w:r>
      <w:r w:rsidRPr="004B2028">
        <w:rPr>
          <w:rFonts w:asciiTheme="minorHAnsi" w:hAnsiTheme="minorHAnsi" w:cstheme="minorHAnsi"/>
          <w:color w:val="232323"/>
          <w:sz w:val="22"/>
          <w:szCs w:val="22"/>
          <w:lang w:val="en-US"/>
        </w:rPr>
        <w:t>RTOG</w:t>
      </w:r>
      <w:r w:rsidR="000849AD" w:rsidRPr="004B2028">
        <w:rPr>
          <w:rFonts w:asciiTheme="minorHAnsi" w:hAnsiTheme="minorHAnsi" w:cstheme="minorHAnsi"/>
          <w:color w:val="232323"/>
          <w:sz w:val="22"/>
          <w:szCs w:val="22"/>
        </w:rPr>
        <w:t xml:space="preserve">, στην ελληνική γλώσσα και αφού ζητήθηκε η σχετική άδεια χρήσης τους. </w:t>
      </w:r>
      <w:r w:rsidR="0015085F" w:rsidRPr="004B2028">
        <w:rPr>
          <w:rFonts w:asciiTheme="minorHAnsi" w:hAnsiTheme="minorHAnsi" w:cstheme="minorHAnsi"/>
          <w:color w:val="232323"/>
          <w:sz w:val="22"/>
          <w:szCs w:val="22"/>
        </w:rPr>
        <w:t>Ως δευτερεύον καταληκτικό σημείο είναι ο τοπικός έλεγχος της νόσου.</w:t>
      </w:r>
      <w:r w:rsidR="000639BF" w:rsidRPr="004B2028">
        <w:rPr>
          <w:rFonts w:asciiTheme="minorHAnsi" w:hAnsiTheme="minorHAnsi" w:cstheme="minorHAnsi"/>
          <w:color w:val="232323"/>
          <w:sz w:val="22"/>
          <w:szCs w:val="22"/>
        </w:rPr>
        <w:t xml:space="preserve"> Η μελέτη των ασθενών θα πραγματοποιηθεί στο 401 Γενικό Στρατιωτικό Νοσοκομείο Αθηνών</w:t>
      </w:r>
      <w:r w:rsidR="00E438C4">
        <w:rPr>
          <w:rFonts w:asciiTheme="minorHAnsi" w:hAnsiTheme="minorHAnsi" w:cstheme="minorHAnsi"/>
          <w:color w:val="232323"/>
          <w:sz w:val="22"/>
          <w:szCs w:val="22"/>
        </w:rPr>
        <w:t>.</w:t>
      </w:r>
    </w:p>
    <w:p w14:paraId="70F364B9" w14:textId="446C06F7" w:rsidR="00886A56" w:rsidRDefault="00886A56" w:rsidP="00D32416">
      <w:pPr>
        <w:pStyle w:val="headinganchor"/>
        <w:shd w:val="clear" w:color="auto" w:fill="FFFFFF"/>
        <w:spacing w:after="0" w:line="360" w:lineRule="auto"/>
        <w:rPr>
          <w:rFonts w:asciiTheme="minorHAnsi" w:hAnsiTheme="minorHAnsi" w:cstheme="minorHAnsi"/>
          <w:b/>
          <w:color w:val="232323"/>
          <w:sz w:val="22"/>
          <w:szCs w:val="22"/>
        </w:rPr>
      </w:pPr>
    </w:p>
    <w:p w14:paraId="7F541203" w14:textId="77777777" w:rsidR="00886A56" w:rsidRDefault="00886A56" w:rsidP="00D32416">
      <w:pPr>
        <w:pStyle w:val="headinganchor"/>
        <w:shd w:val="clear" w:color="auto" w:fill="FFFFFF"/>
        <w:spacing w:after="0" w:line="360" w:lineRule="auto"/>
        <w:rPr>
          <w:rFonts w:asciiTheme="minorHAnsi" w:hAnsiTheme="minorHAnsi" w:cstheme="minorHAnsi"/>
          <w:b/>
          <w:color w:val="232323"/>
          <w:sz w:val="22"/>
          <w:szCs w:val="22"/>
        </w:rPr>
      </w:pPr>
    </w:p>
    <w:p w14:paraId="499B7977" w14:textId="6BA696C8" w:rsidR="000849AD" w:rsidRPr="00D32416" w:rsidRDefault="000849AD" w:rsidP="00D32416">
      <w:pPr>
        <w:pStyle w:val="headinganchor"/>
        <w:shd w:val="clear" w:color="auto" w:fill="FFFFFF"/>
        <w:spacing w:after="0" w:line="360" w:lineRule="auto"/>
        <w:rPr>
          <w:rFonts w:asciiTheme="minorHAnsi" w:hAnsiTheme="minorHAnsi" w:cstheme="minorHAnsi"/>
          <w:b/>
          <w:color w:val="232323"/>
          <w:sz w:val="22"/>
          <w:szCs w:val="22"/>
        </w:rPr>
      </w:pPr>
      <w:r w:rsidRPr="00D32416">
        <w:rPr>
          <w:rFonts w:asciiTheme="minorHAnsi" w:hAnsiTheme="minorHAnsi" w:cstheme="minorHAnsi"/>
          <w:b/>
          <w:color w:val="232323"/>
          <w:sz w:val="22"/>
          <w:szCs w:val="22"/>
        </w:rPr>
        <w:t xml:space="preserve">Υλικό </w:t>
      </w:r>
      <w:r w:rsidR="0015085F" w:rsidRPr="00D32416">
        <w:rPr>
          <w:rFonts w:asciiTheme="minorHAnsi" w:hAnsiTheme="minorHAnsi" w:cstheme="minorHAnsi"/>
          <w:b/>
          <w:color w:val="232323"/>
          <w:sz w:val="22"/>
          <w:szCs w:val="22"/>
        </w:rPr>
        <w:t>–</w:t>
      </w:r>
      <w:r w:rsidRPr="00D32416">
        <w:rPr>
          <w:rFonts w:asciiTheme="minorHAnsi" w:hAnsiTheme="minorHAnsi" w:cstheme="minorHAnsi"/>
          <w:b/>
          <w:color w:val="232323"/>
          <w:sz w:val="22"/>
          <w:szCs w:val="22"/>
        </w:rPr>
        <w:t xml:space="preserve"> Μέθοδοι</w:t>
      </w:r>
    </w:p>
    <w:p w14:paraId="6C8FB8AC" w14:textId="77777777" w:rsidR="00D32416" w:rsidRPr="00D32416" w:rsidRDefault="0015085F" w:rsidP="00D32416">
      <w:pPr>
        <w:pStyle w:val="headinganchor"/>
        <w:shd w:val="clear" w:color="auto" w:fill="FFFFFF"/>
        <w:spacing w:after="0" w:line="360" w:lineRule="auto"/>
        <w:rPr>
          <w:rFonts w:asciiTheme="minorHAnsi" w:hAnsiTheme="minorHAnsi" w:cstheme="minorHAnsi"/>
          <w:b/>
          <w:color w:val="232323"/>
          <w:sz w:val="22"/>
          <w:szCs w:val="22"/>
        </w:rPr>
      </w:pPr>
      <w:r w:rsidRPr="00D32416">
        <w:rPr>
          <w:rFonts w:asciiTheme="minorHAnsi" w:hAnsiTheme="minorHAnsi" w:cstheme="minorHAnsi"/>
          <w:b/>
          <w:color w:val="232323"/>
          <w:sz w:val="22"/>
          <w:szCs w:val="22"/>
        </w:rPr>
        <w:t xml:space="preserve">Πρωταρχικός σκοπός </w:t>
      </w:r>
      <w:r w:rsidR="00754B9E">
        <w:rPr>
          <w:rFonts w:asciiTheme="minorHAnsi" w:hAnsiTheme="minorHAnsi" w:cstheme="minorHAnsi"/>
          <w:b/>
          <w:color w:val="232323"/>
          <w:sz w:val="22"/>
          <w:szCs w:val="22"/>
        </w:rPr>
        <w:t>–πρωτεύον καταληκτικό σημείο</w:t>
      </w:r>
    </w:p>
    <w:p w14:paraId="60AC94A5" w14:textId="77777777" w:rsidR="0069390D" w:rsidRPr="004B2028" w:rsidRDefault="0069390D" w:rsidP="00D32416">
      <w:pPr>
        <w:numPr>
          <w:ilvl w:val="0"/>
          <w:numId w:val="3"/>
        </w:numPr>
        <w:shd w:val="clear" w:color="auto" w:fill="FFFFFF"/>
        <w:spacing w:before="120" w:after="120" w:line="360" w:lineRule="auto"/>
        <w:ind w:left="300" w:right="300"/>
        <w:rPr>
          <w:rFonts w:eastAsia="Times New Roman" w:cstheme="minorHAnsi"/>
          <w:color w:val="000000"/>
          <w:lang w:eastAsia="el-GR"/>
        </w:rPr>
      </w:pPr>
      <w:r w:rsidRPr="004B2028">
        <w:rPr>
          <w:rFonts w:cstheme="minorHAnsi"/>
          <w:color w:val="232323"/>
        </w:rPr>
        <w:t xml:space="preserve">Ανάλυση καταγεγραμμένων δεδομένων μετατόπισης, βασισμένων σε on-line 3D-3D ευθυγράμμιση. </w:t>
      </w:r>
    </w:p>
    <w:p w14:paraId="57CF6903" w14:textId="77777777" w:rsidR="00282F8A" w:rsidRPr="00D32416" w:rsidRDefault="0015085F" w:rsidP="00D32416">
      <w:pPr>
        <w:numPr>
          <w:ilvl w:val="0"/>
          <w:numId w:val="3"/>
        </w:numPr>
        <w:shd w:val="clear" w:color="auto" w:fill="FFFFFF"/>
        <w:spacing w:before="120" w:after="120" w:line="360" w:lineRule="auto"/>
        <w:ind w:left="300" w:right="300"/>
        <w:rPr>
          <w:rFonts w:eastAsia="Times New Roman" w:cstheme="minorHAnsi"/>
          <w:color w:val="000000"/>
          <w:lang w:eastAsia="el-GR"/>
        </w:rPr>
      </w:pPr>
      <w:r w:rsidRPr="00D32416">
        <w:rPr>
          <w:rFonts w:eastAsia="Times New Roman" w:cstheme="minorHAnsi"/>
          <w:color w:val="000000"/>
          <w:lang w:eastAsia="el-GR"/>
        </w:rPr>
        <w:t>Συμπτώματα ουροποιητικού</w:t>
      </w:r>
      <w:r w:rsidR="00282F8A" w:rsidRPr="00D32416">
        <w:rPr>
          <w:rFonts w:eastAsia="Times New Roman" w:cstheme="minorHAnsi"/>
          <w:color w:val="000000"/>
          <w:lang w:eastAsia="el-GR"/>
        </w:rPr>
        <w:t xml:space="preserve"> [</w:t>
      </w:r>
      <w:r w:rsidR="00282F8A" w:rsidRPr="00D32416">
        <w:rPr>
          <w:rFonts w:eastAsia="Times New Roman" w:cstheme="minorHAnsi"/>
          <w:color w:val="000000"/>
          <w:lang w:val="en-US" w:eastAsia="el-GR"/>
        </w:rPr>
        <w:t> </w:t>
      </w:r>
      <w:r w:rsidRPr="00D32416">
        <w:rPr>
          <w:rFonts w:eastAsia="Times New Roman" w:cstheme="minorHAnsi"/>
          <w:color w:val="000000"/>
          <w:lang w:eastAsia="el-GR"/>
        </w:rPr>
        <w:t>Χρονικό διάστημα</w:t>
      </w:r>
      <w:r w:rsidR="00282F8A" w:rsidRPr="00D32416">
        <w:rPr>
          <w:rFonts w:eastAsia="Times New Roman" w:cstheme="minorHAnsi"/>
          <w:color w:val="000000"/>
          <w:lang w:eastAsia="el-GR"/>
        </w:rPr>
        <w:t>:</w:t>
      </w:r>
      <w:r w:rsidR="00282F8A" w:rsidRPr="00D32416">
        <w:rPr>
          <w:rFonts w:eastAsia="Times New Roman" w:cstheme="minorHAnsi"/>
          <w:color w:val="000000"/>
          <w:lang w:val="en-US" w:eastAsia="el-GR"/>
        </w:rPr>
        <w:t> </w:t>
      </w:r>
      <w:r w:rsidR="00282F8A" w:rsidRPr="00D32416">
        <w:rPr>
          <w:rFonts w:eastAsia="Times New Roman" w:cstheme="minorHAnsi"/>
          <w:color w:val="000000"/>
          <w:lang w:eastAsia="el-GR"/>
        </w:rPr>
        <w:t>24</w:t>
      </w:r>
      <w:r w:rsidRPr="00D32416">
        <w:rPr>
          <w:rFonts w:eastAsia="Times New Roman" w:cstheme="minorHAnsi"/>
          <w:color w:val="000000"/>
          <w:lang w:eastAsia="el-GR"/>
        </w:rPr>
        <w:t xml:space="preserve"> μηνών</w:t>
      </w:r>
      <w:r w:rsidR="00282F8A" w:rsidRPr="00D32416">
        <w:rPr>
          <w:rFonts w:eastAsia="Times New Roman" w:cstheme="minorHAnsi"/>
          <w:color w:val="000000"/>
          <w:lang w:val="en-US" w:eastAsia="el-GR"/>
        </w:rPr>
        <w:t> </w:t>
      </w:r>
      <w:r w:rsidR="00282F8A" w:rsidRPr="00D32416">
        <w:rPr>
          <w:rFonts w:eastAsia="Times New Roman" w:cstheme="minorHAnsi"/>
          <w:color w:val="000000"/>
          <w:lang w:eastAsia="el-GR"/>
        </w:rPr>
        <w:t>]</w:t>
      </w:r>
    </w:p>
    <w:p w14:paraId="4AFC8795" w14:textId="77777777" w:rsidR="00282F8A" w:rsidRPr="00D32416" w:rsidRDefault="0015085F" w:rsidP="00D32416">
      <w:pPr>
        <w:shd w:val="clear" w:color="auto" w:fill="FFFFFF"/>
        <w:spacing w:after="120" w:line="360" w:lineRule="auto"/>
        <w:ind w:left="540" w:right="300"/>
        <w:rPr>
          <w:rFonts w:eastAsia="Times New Roman" w:cstheme="minorHAnsi"/>
          <w:color w:val="000000"/>
          <w:lang w:eastAsia="el-GR"/>
        </w:rPr>
      </w:pPr>
      <w:r w:rsidRPr="00D32416">
        <w:rPr>
          <w:rFonts w:eastAsia="Times New Roman" w:cstheme="minorHAnsi"/>
          <w:color w:val="000000"/>
          <w:lang w:eastAsia="el-GR"/>
        </w:rPr>
        <w:t xml:space="preserve">Χρήση του ερωτηματολογίου </w:t>
      </w:r>
      <w:r w:rsidRPr="00D32416">
        <w:rPr>
          <w:rFonts w:eastAsia="Times New Roman" w:cstheme="minorHAnsi"/>
          <w:color w:val="000000"/>
          <w:lang w:val="en-US" w:eastAsia="el-GR"/>
        </w:rPr>
        <w:t>EORTC</w:t>
      </w:r>
      <w:r w:rsidRPr="00D32416">
        <w:rPr>
          <w:rFonts w:eastAsia="Times New Roman" w:cstheme="minorHAnsi"/>
          <w:color w:val="000000"/>
          <w:lang w:eastAsia="el-GR"/>
        </w:rPr>
        <w:t xml:space="preserve"> </w:t>
      </w:r>
      <w:r w:rsidRPr="00D32416">
        <w:rPr>
          <w:rFonts w:eastAsia="Times New Roman" w:cstheme="minorHAnsi"/>
          <w:color w:val="000000"/>
          <w:lang w:val="en-US" w:eastAsia="el-GR"/>
        </w:rPr>
        <w:t>QLQ</w:t>
      </w:r>
      <w:r w:rsidRPr="00D32416">
        <w:rPr>
          <w:rFonts w:eastAsia="Times New Roman" w:cstheme="minorHAnsi"/>
          <w:color w:val="000000"/>
          <w:lang w:eastAsia="el-GR"/>
        </w:rPr>
        <w:t xml:space="preserve"> - </w:t>
      </w:r>
      <w:r w:rsidRPr="00D32416">
        <w:rPr>
          <w:rFonts w:eastAsia="Times New Roman" w:cstheme="minorHAnsi"/>
          <w:color w:val="000000"/>
          <w:lang w:val="en-US" w:eastAsia="el-GR"/>
        </w:rPr>
        <w:t>PR</w:t>
      </w:r>
      <w:r w:rsidRPr="00D32416">
        <w:rPr>
          <w:rFonts w:eastAsia="Times New Roman" w:cstheme="minorHAnsi"/>
          <w:color w:val="000000"/>
          <w:lang w:eastAsia="el-GR"/>
        </w:rPr>
        <w:t xml:space="preserve">25 μετά την </w:t>
      </w:r>
      <w:r w:rsidRPr="00D32416">
        <w:rPr>
          <w:rFonts w:eastAsia="Times New Roman" w:cstheme="minorHAnsi"/>
          <w:color w:val="000000"/>
          <w:lang w:val="en-US" w:eastAsia="el-GR"/>
        </w:rPr>
        <w:t>SBRT</w:t>
      </w:r>
      <w:r w:rsidRPr="00D32416">
        <w:rPr>
          <w:rFonts w:eastAsia="Times New Roman" w:cstheme="minorHAnsi"/>
          <w:color w:val="000000"/>
          <w:lang w:eastAsia="el-GR"/>
        </w:rPr>
        <w:t>.</w:t>
      </w:r>
    </w:p>
    <w:p w14:paraId="54EA43C2" w14:textId="77777777" w:rsidR="00282F8A" w:rsidRPr="00D32416" w:rsidRDefault="0015085F" w:rsidP="00D32416">
      <w:pPr>
        <w:numPr>
          <w:ilvl w:val="0"/>
          <w:numId w:val="3"/>
        </w:numPr>
        <w:shd w:val="clear" w:color="auto" w:fill="FFFFFF"/>
        <w:spacing w:before="120" w:after="120" w:line="360" w:lineRule="auto"/>
        <w:ind w:left="300" w:right="300"/>
        <w:rPr>
          <w:rFonts w:eastAsia="Times New Roman" w:cstheme="minorHAnsi"/>
          <w:color w:val="000000"/>
          <w:lang w:eastAsia="el-GR"/>
        </w:rPr>
      </w:pPr>
      <w:r w:rsidRPr="00D32416">
        <w:rPr>
          <w:rFonts w:eastAsia="Times New Roman" w:cstheme="minorHAnsi"/>
          <w:color w:val="000000"/>
          <w:lang w:eastAsia="el-GR"/>
        </w:rPr>
        <w:t xml:space="preserve">Συμπτώματα γαστρεντερικού </w:t>
      </w:r>
      <w:r w:rsidR="00282F8A" w:rsidRPr="00D32416">
        <w:rPr>
          <w:rFonts w:eastAsia="Times New Roman" w:cstheme="minorHAnsi"/>
          <w:color w:val="000000"/>
          <w:lang w:eastAsia="el-GR"/>
        </w:rPr>
        <w:t>[</w:t>
      </w:r>
      <w:r w:rsidR="00282F8A" w:rsidRPr="00D32416">
        <w:rPr>
          <w:rFonts w:eastAsia="Times New Roman" w:cstheme="minorHAnsi"/>
          <w:color w:val="000000"/>
          <w:lang w:val="en-US" w:eastAsia="el-GR"/>
        </w:rPr>
        <w:t> </w:t>
      </w:r>
      <w:r w:rsidRPr="00D32416">
        <w:rPr>
          <w:rFonts w:eastAsia="Times New Roman" w:cstheme="minorHAnsi"/>
          <w:color w:val="000000"/>
          <w:lang w:eastAsia="el-GR"/>
        </w:rPr>
        <w:t>Χρονικό διάστημα</w:t>
      </w:r>
      <w:r w:rsidR="00282F8A" w:rsidRPr="00D32416">
        <w:rPr>
          <w:rFonts w:eastAsia="Times New Roman" w:cstheme="minorHAnsi"/>
          <w:color w:val="000000"/>
          <w:lang w:eastAsia="el-GR"/>
        </w:rPr>
        <w:t>:</w:t>
      </w:r>
      <w:r w:rsidR="00282F8A" w:rsidRPr="00D32416">
        <w:rPr>
          <w:rFonts w:eastAsia="Times New Roman" w:cstheme="minorHAnsi"/>
          <w:color w:val="000000"/>
          <w:lang w:val="en-US" w:eastAsia="el-GR"/>
        </w:rPr>
        <w:t> </w:t>
      </w:r>
      <w:r w:rsidR="00282F8A" w:rsidRPr="00D32416">
        <w:rPr>
          <w:rFonts w:eastAsia="Times New Roman" w:cstheme="minorHAnsi"/>
          <w:color w:val="000000"/>
          <w:lang w:eastAsia="el-GR"/>
        </w:rPr>
        <w:t>24</w:t>
      </w:r>
      <w:r w:rsidRPr="00D32416">
        <w:rPr>
          <w:rFonts w:eastAsia="Times New Roman" w:cstheme="minorHAnsi"/>
          <w:color w:val="000000"/>
          <w:lang w:eastAsia="el-GR"/>
        </w:rPr>
        <w:t xml:space="preserve"> μηνών</w:t>
      </w:r>
      <w:r w:rsidR="00282F8A" w:rsidRPr="00D32416">
        <w:rPr>
          <w:rFonts w:eastAsia="Times New Roman" w:cstheme="minorHAnsi"/>
          <w:color w:val="000000"/>
          <w:lang w:val="en-US" w:eastAsia="el-GR"/>
        </w:rPr>
        <w:t> </w:t>
      </w:r>
      <w:r w:rsidR="00282F8A" w:rsidRPr="00D32416">
        <w:rPr>
          <w:rFonts w:eastAsia="Times New Roman" w:cstheme="minorHAnsi"/>
          <w:color w:val="000000"/>
          <w:lang w:eastAsia="el-GR"/>
        </w:rPr>
        <w:t>]</w:t>
      </w:r>
    </w:p>
    <w:p w14:paraId="3A364125" w14:textId="77777777" w:rsidR="00282F8A" w:rsidRPr="00EF2861" w:rsidRDefault="0015085F" w:rsidP="00D32416">
      <w:pPr>
        <w:shd w:val="clear" w:color="auto" w:fill="FFFFFF"/>
        <w:spacing w:after="120" w:line="360" w:lineRule="auto"/>
        <w:ind w:left="540" w:right="300"/>
        <w:rPr>
          <w:rFonts w:eastAsia="Times New Roman" w:cstheme="minorHAnsi"/>
          <w:color w:val="000000"/>
          <w:lang w:eastAsia="el-GR"/>
        </w:rPr>
      </w:pPr>
      <w:r w:rsidRPr="00D32416">
        <w:rPr>
          <w:rFonts w:eastAsia="Times New Roman" w:cstheme="minorHAnsi"/>
          <w:color w:val="000000"/>
          <w:lang w:eastAsia="el-GR"/>
        </w:rPr>
        <w:t>Χρήση</w:t>
      </w:r>
      <w:r w:rsidRPr="00EF2861">
        <w:rPr>
          <w:rFonts w:eastAsia="Times New Roman" w:cstheme="minorHAnsi"/>
          <w:color w:val="000000"/>
          <w:lang w:eastAsia="el-GR"/>
        </w:rPr>
        <w:t xml:space="preserve"> </w:t>
      </w:r>
      <w:r w:rsidRPr="00D32416">
        <w:rPr>
          <w:rFonts w:eastAsia="Times New Roman" w:cstheme="minorHAnsi"/>
          <w:color w:val="000000"/>
          <w:lang w:eastAsia="el-GR"/>
        </w:rPr>
        <w:t>του</w:t>
      </w:r>
      <w:r w:rsidRPr="00EF2861">
        <w:rPr>
          <w:rFonts w:eastAsia="Times New Roman" w:cstheme="minorHAnsi"/>
          <w:color w:val="000000"/>
          <w:lang w:eastAsia="el-GR"/>
        </w:rPr>
        <w:t xml:space="preserve"> </w:t>
      </w:r>
      <w:r w:rsidRPr="00D32416">
        <w:rPr>
          <w:rFonts w:eastAsia="Times New Roman" w:cstheme="minorHAnsi"/>
          <w:color w:val="000000"/>
          <w:lang w:eastAsia="el-GR"/>
        </w:rPr>
        <w:t>ερωτηματολογίου</w:t>
      </w:r>
      <w:r w:rsidRPr="00EF2861">
        <w:rPr>
          <w:rFonts w:eastAsia="Times New Roman" w:cstheme="minorHAnsi"/>
          <w:color w:val="000000"/>
          <w:lang w:eastAsia="el-GR"/>
        </w:rPr>
        <w:t xml:space="preserve"> </w:t>
      </w:r>
      <w:r w:rsidRPr="00D32416">
        <w:rPr>
          <w:rFonts w:eastAsia="Times New Roman" w:cstheme="minorHAnsi"/>
          <w:color w:val="000000"/>
          <w:lang w:val="en-US" w:eastAsia="el-GR"/>
        </w:rPr>
        <w:t>EORTC</w:t>
      </w:r>
      <w:r w:rsidRPr="00EF2861">
        <w:rPr>
          <w:rFonts w:eastAsia="Times New Roman" w:cstheme="minorHAnsi"/>
          <w:color w:val="000000"/>
          <w:lang w:eastAsia="el-GR"/>
        </w:rPr>
        <w:t xml:space="preserve"> </w:t>
      </w:r>
      <w:r w:rsidRPr="00D32416">
        <w:rPr>
          <w:rFonts w:eastAsia="Times New Roman" w:cstheme="minorHAnsi"/>
          <w:color w:val="000000"/>
          <w:lang w:val="en-US" w:eastAsia="el-GR"/>
        </w:rPr>
        <w:t>QLQ</w:t>
      </w:r>
      <w:r w:rsidRPr="00EF2861">
        <w:rPr>
          <w:rFonts w:eastAsia="Times New Roman" w:cstheme="minorHAnsi"/>
          <w:color w:val="000000"/>
          <w:lang w:eastAsia="el-GR"/>
        </w:rPr>
        <w:t xml:space="preserve"> – </w:t>
      </w:r>
      <w:r w:rsidRPr="00D32416">
        <w:rPr>
          <w:rFonts w:eastAsia="Times New Roman" w:cstheme="minorHAnsi"/>
          <w:color w:val="000000"/>
          <w:lang w:val="en-US" w:eastAsia="el-GR"/>
        </w:rPr>
        <w:t>PRT</w:t>
      </w:r>
      <w:r w:rsidRPr="00EF2861">
        <w:rPr>
          <w:rFonts w:eastAsia="Times New Roman" w:cstheme="minorHAnsi"/>
          <w:color w:val="000000"/>
          <w:lang w:eastAsia="el-GR"/>
        </w:rPr>
        <w:t xml:space="preserve">20 </w:t>
      </w:r>
      <w:r w:rsidRPr="00D32416">
        <w:rPr>
          <w:rFonts w:eastAsia="Times New Roman" w:cstheme="minorHAnsi"/>
          <w:color w:val="000000"/>
          <w:lang w:eastAsia="el-GR"/>
        </w:rPr>
        <w:t>μετά</w:t>
      </w:r>
      <w:r w:rsidRPr="00EF2861">
        <w:rPr>
          <w:rFonts w:eastAsia="Times New Roman" w:cstheme="minorHAnsi"/>
          <w:color w:val="000000"/>
          <w:lang w:eastAsia="el-GR"/>
        </w:rPr>
        <w:t xml:space="preserve"> </w:t>
      </w:r>
      <w:r w:rsidRPr="00D32416">
        <w:rPr>
          <w:rFonts w:eastAsia="Times New Roman" w:cstheme="minorHAnsi"/>
          <w:color w:val="000000"/>
          <w:lang w:eastAsia="el-GR"/>
        </w:rPr>
        <w:t>την</w:t>
      </w:r>
      <w:r w:rsidRPr="00EF2861">
        <w:rPr>
          <w:rFonts w:eastAsia="Times New Roman" w:cstheme="minorHAnsi"/>
          <w:color w:val="000000"/>
          <w:lang w:eastAsia="el-GR"/>
        </w:rPr>
        <w:t xml:space="preserve"> </w:t>
      </w:r>
      <w:r w:rsidRPr="00D32416">
        <w:rPr>
          <w:rFonts w:eastAsia="Times New Roman" w:cstheme="minorHAnsi"/>
          <w:color w:val="000000"/>
          <w:lang w:val="en-US" w:eastAsia="el-GR"/>
        </w:rPr>
        <w:t>SBRT</w:t>
      </w:r>
      <w:r w:rsidRPr="00EF2861">
        <w:rPr>
          <w:rFonts w:eastAsia="Times New Roman" w:cstheme="minorHAnsi"/>
          <w:color w:val="000000"/>
          <w:lang w:eastAsia="el-GR"/>
        </w:rPr>
        <w:t xml:space="preserve"> </w:t>
      </w:r>
    </w:p>
    <w:p w14:paraId="4E6DEFD9" w14:textId="77777777" w:rsidR="0015085F" w:rsidRPr="00D32416" w:rsidRDefault="0015085F" w:rsidP="00D32416">
      <w:pPr>
        <w:numPr>
          <w:ilvl w:val="0"/>
          <w:numId w:val="3"/>
        </w:numPr>
        <w:shd w:val="clear" w:color="auto" w:fill="FFFFFF"/>
        <w:spacing w:before="120" w:after="120" w:line="360" w:lineRule="auto"/>
        <w:ind w:left="300" w:right="300"/>
        <w:rPr>
          <w:rFonts w:eastAsia="Times New Roman" w:cstheme="minorHAnsi"/>
          <w:color w:val="000000"/>
          <w:lang w:eastAsia="el-GR"/>
        </w:rPr>
      </w:pPr>
      <w:r w:rsidRPr="00D32416">
        <w:rPr>
          <w:rFonts w:eastAsia="Times New Roman" w:cstheme="minorHAnsi"/>
          <w:color w:val="000000"/>
          <w:lang w:eastAsia="el-GR"/>
        </w:rPr>
        <w:t xml:space="preserve">Σεξουαλική λειτουργία </w:t>
      </w:r>
      <w:r w:rsidR="00282F8A" w:rsidRPr="00D32416">
        <w:rPr>
          <w:rFonts w:eastAsia="Times New Roman" w:cstheme="minorHAnsi"/>
          <w:color w:val="000000"/>
          <w:lang w:eastAsia="el-GR"/>
        </w:rPr>
        <w:t>[</w:t>
      </w:r>
      <w:r w:rsidR="00282F8A" w:rsidRPr="00D32416">
        <w:rPr>
          <w:rFonts w:eastAsia="Times New Roman" w:cstheme="minorHAnsi"/>
          <w:color w:val="000000"/>
          <w:lang w:val="en-US" w:eastAsia="el-GR"/>
        </w:rPr>
        <w:t> </w:t>
      </w:r>
      <w:r w:rsidRPr="00D32416">
        <w:rPr>
          <w:rFonts w:eastAsia="Times New Roman" w:cstheme="minorHAnsi"/>
          <w:color w:val="000000"/>
          <w:lang w:eastAsia="el-GR"/>
        </w:rPr>
        <w:t>Χρονικό διάστημα</w:t>
      </w:r>
      <w:r w:rsidR="00282F8A" w:rsidRPr="00D32416">
        <w:rPr>
          <w:rFonts w:eastAsia="Times New Roman" w:cstheme="minorHAnsi"/>
          <w:color w:val="000000"/>
          <w:lang w:eastAsia="el-GR"/>
        </w:rPr>
        <w:t>:</w:t>
      </w:r>
      <w:r w:rsidR="00282F8A" w:rsidRPr="00D32416">
        <w:rPr>
          <w:rFonts w:eastAsia="Times New Roman" w:cstheme="minorHAnsi"/>
          <w:color w:val="000000"/>
          <w:lang w:val="en-US" w:eastAsia="el-GR"/>
        </w:rPr>
        <w:t> </w:t>
      </w:r>
      <w:r w:rsidR="00282F8A" w:rsidRPr="00D32416">
        <w:rPr>
          <w:rFonts w:eastAsia="Times New Roman" w:cstheme="minorHAnsi"/>
          <w:color w:val="000000"/>
          <w:lang w:eastAsia="el-GR"/>
        </w:rPr>
        <w:t xml:space="preserve">24 </w:t>
      </w:r>
      <w:r w:rsidRPr="00D32416">
        <w:rPr>
          <w:rFonts w:eastAsia="Times New Roman" w:cstheme="minorHAnsi"/>
          <w:color w:val="000000"/>
          <w:lang w:eastAsia="el-GR"/>
        </w:rPr>
        <w:t>μηνών</w:t>
      </w:r>
      <w:r w:rsidR="00282F8A" w:rsidRPr="00D32416">
        <w:rPr>
          <w:rFonts w:eastAsia="Times New Roman" w:cstheme="minorHAnsi"/>
          <w:color w:val="000000"/>
          <w:lang w:val="en-US" w:eastAsia="el-GR"/>
        </w:rPr>
        <w:t> </w:t>
      </w:r>
      <w:r w:rsidR="00282F8A" w:rsidRPr="00D32416">
        <w:rPr>
          <w:rFonts w:eastAsia="Times New Roman" w:cstheme="minorHAnsi"/>
          <w:color w:val="000000"/>
          <w:lang w:eastAsia="el-GR"/>
        </w:rPr>
        <w:t>]</w:t>
      </w:r>
      <w:r w:rsidRPr="00D32416">
        <w:rPr>
          <w:rFonts w:cstheme="minorHAnsi"/>
        </w:rPr>
        <w:t xml:space="preserve"> </w:t>
      </w:r>
    </w:p>
    <w:p w14:paraId="6A9735A4" w14:textId="77777777" w:rsidR="00D32416" w:rsidRDefault="0015085F" w:rsidP="00EF2861">
      <w:pPr>
        <w:shd w:val="clear" w:color="auto" w:fill="FFFFFF"/>
        <w:spacing w:before="120" w:after="120" w:line="360" w:lineRule="auto"/>
        <w:ind w:left="300" w:right="300" w:firstLine="240"/>
        <w:rPr>
          <w:rFonts w:eastAsia="Times New Roman" w:cstheme="minorHAnsi"/>
          <w:color w:val="000000"/>
          <w:lang w:eastAsia="el-GR"/>
        </w:rPr>
      </w:pPr>
      <w:r w:rsidRPr="00D32416">
        <w:rPr>
          <w:rFonts w:eastAsia="Times New Roman" w:cstheme="minorHAnsi"/>
          <w:color w:val="000000"/>
          <w:lang w:eastAsia="el-GR"/>
        </w:rPr>
        <w:t xml:space="preserve">Χρήση του ερωτηματολογίου </w:t>
      </w:r>
      <w:r w:rsidRPr="00D32416">
        <w:rPr>
          <w:rFonts w:eastAsia="Times New Roman" w:cstheme="minorHAnsi"/>
          <w:color w:val="000000"/>
          <w:lang w:val="en-US" w:eastAsia="el-GR"/>
        </w:rPr>
        <w:t>EORTC</w:t>
      </w:r>
      <w:r w:rsidRPr="00D32416">
        <w:rPr>
          <w:rFonts w:eastAsia="Times New Roman" w:cstheme="minorHAnsi"/>
          <w:color w:val="000000"/>
          <w:lang w:eastAsia="el-GR"/>
        </w:rPr>
        <w:t xml:space="preserve"> </w:t>
      </w:r>
      <w:r w:rsidRPr="00D32416">
        <w:rPr>
          <w:rFonts w:eastAsia="Times New Roman" w:cstheme="minorHAnsi"/>
          <w:color w:val="000000"/>
          <w:lang w:val="en-US" w:eastAsia="el-GR"/>
        </w:rPr>
        <w:t>SHQ</w:t>
      </w:r>
      <w:r w:rsidRPr="00D32416">
        <w:rPr>
          <w:rFonts w:eastAsia="Times New Roman" w:cstheme="minorHAnsi"/>
          <w:color w:val="000000"/>
          <w:lang w:eastAsia="el-GR"/>
        </w:rPr>
        <w:t>-</w:t>
      </w:r>
      <w:r w:rsidRPr="00D32416">
        <w:rPr>
          <w:rFonts w:eastAsia="Times New Roman" w:cstheme="minorHAnsi"/>
          <w:color w:val="000000"/>
          <w:lang w:val="en-US" w:eastAsia="el-GR"/>
        </w:rPr>
        <w:t>C</w:t>
      </w:r>
      <w:r w:rsidRPr="00D32416">
        <w:rPr>
          <w:rFonts w:eastAsia="Times New Roman" w:cstheme="minorHAnsi"/>
          <w:color w:val="000000"/>
          <w:lang w:eastAsia="el-GR"/>
        </w:rPr>
        <w:t xml:space="preserve">22 μετά την </w:t>
      </w:r>
      <w:r w:rsidRPr="00D32416">
        <w:rPr>
          <w:rFonts w:eastAsia="Times New Roman" w:cstheme="minorHAnsi"/>
          <w:color w:val="000000"/>
          <w:lang w:val="en-US" w:eastAsia="el-GR"/>
        </w:rPr>
        <w:t>SBRT</w:t>
      </w:r>
      <w:r w:rsidRPr="00D32416">
        <w:rPr>
          <w:rFonts w:eastAsia="Times New Roman" w:cstheme="minorHAnsi"/>
          <w:color w:val="000000"/>
          <w:lang w:eastAsia="el-GR"/>
        </w:rPr>
        <w:t>.</w:t>
      </w:r>
    </w:p>
    <w:p w14:paraId="45F1BE4D" w14:textId="77777777" w:rsidR="00282F8A" w:rsidRPr="00D32416" w:rsidRDefault="00D32416" w:rsidP="00D32416">
      <w:pPr>
        <w:pStyle w:val="headinganchor"/>
        <w:shd w:val="clear" w:color="auto" w:fill="FFFFFF"/>
        <w:spacing w:after="0" w:line="360" w:lineRule="auto"/>
        <w:rPr>
          <w:rFonts w:asciiTheme="minorHAnsi" w:hAnsiTheme="minorHAnsi" w:cstheme="minorHAnsi"/>
          <w:b/>
          <w:color w:val="232323"/>
          <w:sz w:val="22"/>
          <w:szCs w:val="22"/>
        </w:rPr>
      </w:pPr>
      <w:r w:rsidRPr="00D32416">
        <w:rPr>
          <w:rFonts w:asciiTheme="minorHAnsi" w:hAnsiTheme="minorHAnsi" w:cstheme="minorHAnsi"/>
          <w:b/>
          <w:color w:val="232323"/>
          <w:sz w:val="22"/>
          <w:szCs w:val="22"/>
        </w:rPr>
        <w:t>Δευτερεύον καταληκτικό σημείο</w:t>
      </w:r>
    </w:p>
    <w:p w14:paraId="661E7520" w14:textId="77777777" w:rsidR="00282F8A" w:rsidRPr="00D32416" w:rsidRDefault="0015085F" w:rsidP="00D32416">
      <w:pPr>
        <w:numPr>
          <w:ilvl w:val="0"/>
          <w:numId w:val="4"/>
        </w:numPr>
        <w:shd w:val="clear" w:color="auto" w:fill="FFFFFF"/>
        <w:spacing w:before="120" w:after="120" w:line="360" w:lineRule="auto"/>
        <w:ind w:left="300" w:right="300"/>
        <w:rPr>
          <w:rFonts w:eastAsia="Times New Roman" w:cstheme="minorHAnsi"/>
          <w:color w:val="000000"/>
          <w:lang w:eastAsia="el-GR"/>
        </w:rPr>
      </w:pPr>
      <w:r w:rsidRPr="00D32416">
        <w:rPr>
          <w:rFonts w:eastAsia="Times New Roman" w:cstheme="minorHAnsi"/>
          <w:color w:val="000000"/>
          <w:lang w:eastAsia="el-GR"/>
        </w:rPr>
        <w:t xml:space="preserve">Τοπικός έλεγχος της νόσου </w:t>
      </w:r>
      <w:r w:rsidR="00282F8A" w:rsidRPr="00D32416">
        <w:rPr>
          <w:rFonts w:eastAsia="Times New Roman" w:cstheme="minorHAnsi"/>
          <w:color w:val="000000"/>
          <w:lang w:eastAsia="el-GR"/>
        </w:rPr>
        <w:t>[</w:t>
      </w:r>
      <w:r w:rsidR="00282F8A" w:rsidRPr="00D32416">
        <w:rPr>
          <w:rFonts w:eastAsia="Times New Roman" w:cstheme="minorHAnsi"/>
          <w:color w:val="000000"/>
          <w:lang w:val="en-US" w:eastAsia="el-GR"/>
        </w:rPr>
        <w:t> </w:t>
      </w:r>
      <w:r w:rsidRPr="00D32416">
        <w:rPr>
          <w:rFonts w:eastAsia="Times New Roman" w:cstheme="minorHAnsi"/>
          <w:color w:val="000000"/>
          <w:lang w:eastAsia="el-GR"/>
        </w:rPr>
        <w:t>Χρονικό διάστημα</w:t>
      </w:r>
      <w:r w:rsidR="00282F8A" w:rsidRPr="00D32416">
        <w:rPr>
          <w:rFonts w:eastAsia="Times New Roman" w:cstheme="minorHAnsi"/>
          <w:color w:val="000000"/>
          <w:lang w:eastAsia="el-GR"/>
        </w:rPr>
        <w:t>:</w:t>
      </w:r>
      <w:r w:rsidR="00282F8A" w:rsidRPr="00D32416">
        <w:rPr>
          <w:rFonts w:eastAsia="Times New Roman" w:cstheme="minorHAnsi"/>
          <w:color w:val="000000"/>
          <w:lang w:val="en-US" w:eastAsia="el-GR"/>
        </w:rPr>
        <w:t> </w:t>
      </w:r>
      <w:r w:rsidR="00282F8A" w:rsidRPr="00D32416">
        <w:rPr>
          <w:rFonts w:eastAsia="Times New Roman" w:cstheme="minorHAnsi"/>
          <w:color w:val="000000"/>
          <w:lang w:eastAsia="el-GR"/>
        </w:rPr>
        <w:t>24</w:t>
      </w:r>
      <w:r w:rsidRPr="00D32416">
        <w:rPr>
          <w:rFonts w:eastAsia="Times New Roman" w:cstheme="minorHAnsi"/>
          <w:color w:val="000000"/>
          <w:lang w:eastAsia="el-GR"/>
        </w:rPr>
        <w:t xml:space="preserve"> μηνών</w:t>
      </w:r>
      <w:r w:rsidR="00282F8A" w:rsidRPr="00D32416">
        <w:rPr>
          <w:rFonts w:eastAsia="Times New Roman" w:cstheme="minorHAnsi"/>
          <w:color w:val="000000"/>
          <w:lang w:val="en-US" w:eastAsia="el-GR"/>
        </w:rPr>
        <w:t> </w:t>
      </w:r>
      <w:r w:rsidR="00282F8A" w:rsidRPr="00D32416">
        <w:rPr>
          <w:rFonts w:eastAsia="Times New Roman" w:cstheme="minorHAnsi"/>
          <w:color w:val="000000"/>
          <w:lang w:eastAsia="el-GR"/>
        </w:rPr>
        <w:t>]</w:t>
      </w:r>
    </w:p>
    <w:p w14:paraId="39802EB5" w14:textId="77777777" w:rsidR="0015085F" w:rsidRDefault="0015085F" w:rsidP="00D32416">
      <w:pPr>
        <w:shd w:val="clear" w:color="auto" w:fill="FFFFFF"/>
        <w:spacing w:before="120" w:after="120" w:line="360" w:lineRule="auto"/>
        <w:ind w:left="300" w:right="300"/>
        <w:rPr>
          <w:rFonts w:eastAsia="Times New Roman" w:cstheme="minorHAnsi"/>
          <w:color w:val="000000"/>
          <w:lang w:eastAsia="el-GR"/>
        </w:rPr>
      </w:pPr>
      <w:r w:rsidRPr="00D32416">
        <w:rPr>
          <w:rFonts w:eastAsia="Times New Roman" w:cstheme="minorHAnsi"/>
          <w:color w:val="000000"/>
          <w:lang w:eastAsia="el-GR"/>
        </w:rPr>
        <w:t>Χρήση του ειδικού προστατικού αντιγόνου (</w:t>
      </w:r>
      <w:r w:rsidRPr="00D32416">
        <w:rPr>
          <w:rFonts w:eastAsia="Times New Roman" w:cstheme="minorHAnsi"/>
          <w:color w:val="000000"/>
          <w:lang w:val="en-US" w:eastAsia="el-GR"/>
        </w:rPr>
        <w:t>PSA</w:t>
      </w:r>
      <w:r w:rsidRPr="00D32416">
        <w:rPr>
          <w:rFonts w:eastAsia="Times New Roman" w:cstheme="minorHAnsi"/>
          <w:color w:val="000000"/>
          <w:lang w:eastAsia="el-GR"/>
        </w:rPr>
        <w:t>)</w:t>
      </w:r>
    </w:p>
    <w:p w14:paraId="058CA6AE" w14:textId="77777777" w:rsidR="00D32416" w:rsidRPr="00EF2861" w:rsidRDefault="00D32416" w:rsidP="00D32416">
      <w:pPr>
        <w:shd w:val="clear" w:color="auto" w:fill="FFFFFF"/>
        <w:spacing w:before="120" w:after="120" w:line="360" w:lineRule="auto"/>
        <w:ind w:left="300" w:right="300"/>
        <w:rPr>
          <w:rFonts w:eastAsia="Times New Roman" w:cstheme="minorHAnsi"/>
          <w:color w:val="000000"/>
          <w:lang w:eastAsia="el-GR"/>
        </w:rPr>
      </w:pPr>
    </w:p>
    <w:p w14:paraId="7FE31B47" w14:textId="77777777" w:rsidR="00D32416" w:rsidRPr="00D32416" w:rsidRDefault="00D32416" w:rsidP="00D32416">
      <w:pPr>
        <w:spacing w:line="360" w:lineRule="auto"/>
        <w:rPr>
          <w:rFonts w:cstheme="minorHAnsi"/>
          <w:b/>
        </w:rPr>
      </w:pPr>
      <w:r w:rsidRPr="00D32416">
        <w:rPr>
          <w:rFonts w:cstheme="minorHAnsi"/>
          <w:b/>
        </w:rPr>
        <w:t>Κριτήρια επιλογής των ασθενών</w:t>
      </w:r>
    </w:p>
    <w:p w14:paraId="469A6A3B" w14:textId="77777777" w:rsidR="00D32416" w:rsidRDefault="00D32416" w:rsidP="00D32416">
      <w:pPr>
        <w:spacing w:line="360" w:lineRule="auto"/>
        <w:rPr>
          <w:rFonts w:cstheme="minorHAnsi"/>
        </w:rPr>
      </w:pPr>
      <w:r w:rsidRPr="00D32416">
        <w:rPr>
          <w:rFonts w:cstheme="minorHAnsi"/>
        </w:rPr>
        <w:t>Άνδρες &gt; 50 ετών με κλινικά εντοπισμένο καρκίνο προστάτ</w:t>
      </w:r>
      <w:r w:rsidR="00910492">
        <w:rPr>
          <w:rFonts w:cstheme="minorHAnsi"/>
        </w:rPr>
        <w:t>η</w:t>
      </w:r>
    </w:p>
    <w:p w14:paraId="2CEA2197" w14:textId="77777777" w:rsidR="00910492" w:rsidRPr="00910492" w:rsidRDefault="00910492" w:rsidP="00D32416">
      <w:pPr>
        <w:spacing w:line="360" w:lineRule="auto"/>
        <w:rPr>
          <w:rFonts w:cstheme="minorHAnsi"/>
        </w:rPr>
      </w:pPr>
    </w:p>
    <w:p w14:paraId="2D1774A0" w14:textId="77777777" w:rsidR="00496D82" w:rsidRPr="00D32416" w:rsidRDefault="00496D82" w:rsidP="00D32416">
      <w:pPr>
        <w:shd w:val="clear" w:color="auto" w:fill="FFFFFF"/>
        <w:spacing w:after="0" w:line="360" w:lineRule="auto"/>
        <w:rPr>
          <w:rFonts w:eastAsia="Times New Roman" w:cstheme="minorHAnsi"/>
          <w:color w:val="000000"/>
          <w:lang w:eastAsia="el-GR"/>
        </w:rPr>
      </w:pPr>
    </w:p>
    <w:p w14:paraId="7591DE7A" w14:textId="77777777" w:rsidR="00D60057" w:rsidRDefault="00D60057" w:rsidP="00D32416">
      <w:pPr>
        <w:spacing w:line="360" w:lineRule="auto"/>
        <w:rPr>
          <w:rFonts w:cstheme="minorHAnsi"/>
          <w:b/>
        </w:rPr>
      </w:pPr>
    </w:p>
    <w:p w14:paraId="39D27C80" w14:textId="77777777" w:rsidR="00D60057" w:rsidRDefault="00D60057" w:rsidP="00D32416">
      <w:pPr>
        <w:spacing w:line="360" w:lineRule="auto"/>
        <w:rPr>
          <w:rFonts w:cstheme="minorHAnsi"/>
          <w:b/>
        </w:rPr>
      </w:pPr>
    </w:p>
    <w:p w14:paraId="05A82BB2" w14:textId="77777777" w:rsidR="00D60057" w:rsidRDefault="00D60057" w:rsidP="00D32416">
      <w:pPr>
        <w:spacing w:line="360" w:lineRule="auto"/>
        <w:rPr>
          <w:rFonts w:cstheme="minorHAnsi"/>
          <w:b/>
        </w:rPr>
      </w:pPr>
    </w:p>
    <w:p w14:paraId="002385D7" w14:textId="77777777" w:rsidR="00D60057" w:rsidRDefault="00D60057" w:rsidP="00D32416">
      <w:pPr>
        <w:spacing w:line="360" w:lineRule="auto"/>
        <w:rPr>
          <w:rFonts w:cstheme="minorHAnsi"/>
          <w:b/>
        </w:rPr>
      </w:pPr>
    </w:p>
    <w:p w14:paraId="323A9688" w14:textId="77777777" w:rsidR="00D60057" w:rsidRDefault="00D60057" w:rsidP="00D32416">
      <w:pPr>
        <w:spacing w:line="360" w:lineRule="auto"/>
        <w:rPr>
          <w:rFonts w:cstheme="minorHAnsi"/>
          <w:b/>
        </w:rPr>
      </w:pPr>
    </w:p>
    <w:p w14:paraId="7EEAC017" w14:textId="77777777" w:rsidR="00D60057" w:rsidRDefault="00D60057" w:rsidP="00D32416">
      <w:pPr>
        <w:spacing w:line="360" w:lineRule="auto"/>
        <w:rPr>
          <w:rFonts w:cstheme="minorHAnsi"/>
          <w:b/>
        </w:rPr>
      </w:pPr>
    </w:p>
    <w:p w14:paraId="178B6487" w14:textId="77777777" w:rsidR="00D60057" w:rsidRDefault="00D60057" w:rsidP="00D32416">
      <w:pPr>
        <w:spacing w:line="360" w:lineRule="auto"/>
        <w:rPr>
          <w:rFonts w:cstheme="minorHAnsi"/>
          <w:b/>
        </w:rPr>
      </w:pPr>
    </w:p>
    <w:p w14:paraId="77E1DEA3" w14:textId="0ED8358F" w:rsidR="00892E74" w:rsidRPr="00C054A0" w:rsidRDefault="00892E74" w:rsidP="00D32416">
      <w:pPr>
        <w:spacing w:line="360" w:lineRule="auto"/>
        <w:rPr>
          <w:rFonts w:cstheme="minorHAnsi"/>
          <w:b/>
          <w:lang w:val="en-US"/>
        </w:rPr>
      </w:pPr>
      <w:r w:rsidRPr="00D32416">
        <w:rPr>
          <w:rFonts w:cstheme="minorHAnsi"/>
          <w:b/>
        </w:rPr>
        <w:t>Βιβλιογραφία</w:t>
      </w:r>
      <w:r w:rsidR="00D32416" w:rsidRPr="00C054A0">
        <w:rPr>
          <w:lang w:val="en-US"/>
        </w:rPr>
        <w:t xml:space="preserve"> </w:t>
      </w:r>
    </w:p>
    <w:p w14:paraId="2F26FC1E" w14:textId="77777777" w:rsidR="00892E74" w:rsidRPr="00D32416" w:rsidRDefault="00892E74" w:rsidP="00D32416">
      <w:pPr>
        <w:spacing w:line="360" w:lineRule="auto"/>
        <w:rPr>
          <w:rFonts w:eastAsia="Times New Roman" w:cstheme="minorHAnsi"/>
          <w:lang w:val="en-US" w:eastAsia="el-GR"/>
        </w:rPr>
      </w:pPr>
      <w:r w:rsidRPr="00D32416">
        <w:rPr>
          <w:rFonts w:eastAsia="Times New Roman" w:cstheme="minorHAnsi"/>
          <w:lang w:val="en-US" w:eastAsia="el-GR"/>
        </w:rPr>
        <w:t>1. Humphrey PA. Cancers of the male reproductive organs. In: World Cancer Report, Stewart BW, Wild CP (Eds), World Health Organization, Lyon 2014.</w:t>
      </w:r>
    </w:p>
    <w:p w14:paraId="05A2C9C4" w14:textId="77777777" w:rsidR="00892E74" w:rsidRPr="00D32416" w:rsidRDefault="00892E74" w:rsidP="00D32416">
      <w:pPr>
        <w:spacing w:line="360" w:lineRule="auto"/>
        <w:rPr>
          <w:rFonts w:eastAsia="Times New Roman" w:cstheme="minorHAnsi"/>
          <w:lang w:val="en-US" w:eastAsia="el-GR"/>
        </w:rPr>
      </w:pPr>
      <w:r w:rsidRPr="00D32416">
        <w:rPr>
          <w:rFonts w:eastAsia="Times New Roman" w:cstheme="minorHAnsi"/>
          <w:lang w:val="en-US" w:eastAsia="el-GR"/>
        </w:rPr>
        <w:t xml:space="preserve">2. </w:t>
      </w:r>
      <w:hyperlink r:id="rId9" w:history="1">
        <w:r w:rsidRPr="00D32416">
          <w:rPr>
            <w:rFonts w:eastAsia="Times New Roman" w:cstheme="minorHAnsi"/>
            <w:lang w:val="en-US" w:eastAsia="el-GR"/>
          </w:rPr>
          <w:t>Barry MJ, Nelson JB. Patients Present with More Advanced Prostate Cancer since the USPSTF Screening Recommendations. J Urol 2015; 194:1534.</w:t>
        </w:r>
      </w:hyperlink>
    </w:p>
    <w:p w14:paraId="512326E3" w14:textId="77777777" w:rsidR="00892E74" w:rsidRPr="00D32416" w:rsidRDefault="00892E74" w:rsidP="00D32416">
      <w:pPr>
        <w:spacing w:line="360" w:lineRule="auto"/>
        <w:rPr>
          <w:rFonts w:cstheme="minorHAnsi"/>
          <w:lang w:val="en-US"/>
        </w:rPr>
      </w:pPr>
      <w:r w:rsidRPr="00D32416">
        <w:rPr>
          <w:rFonts w:cstheme="minorHAnsi"/>
          <w:lang w:val="en-US"/>
        </w:rPr>
        <w:t xml:space="preserve">3. </w:t>
      </w:r>
      <w:hyperlink r:id="rId10" w:history="1">
        <w:r w:rsidRPr="00D32416">
          <w:rPr>
            <w:rFonts w:eastAsia="Times New Roman" w:cstheme="minorHAnsi"/>
            <w:lang w:val="en-US" w:eastAsia="el-GR"/>
          </w:rPr>
          <w:t>Donovan JL, Hamdy FC, Lane JA, et al. Patient-Reported Outcomes after Monitoring, Surgery, or Radiotherapy for Prostate Cancer. N Engl J Med 2016; 375:1425.</w:t>
        </w:r>
      </w:hyperlink>
    </w:p>
    <w:p w14:paraId="4C97C5A1" w14:textId="77777777" w:rsidR="00892E74" w:rsidRPr="00D32416" w:rsidRDefault="00892E74" w:rsidP="00D32416">
      <w:pPr>
        <w:spacing w:line="360" w:lineRule="auto"/>
        <w:rPr>
          <w:rFonts w:cstheme="minorHAnsi"/>
          <w:lang w:val="en-US"/>
        </w:rPr>
      </w:pPr>
      <w:r w:rsidRPr="00D32416">
        <w:rPr>
          <w:rFonts w:cstheme="minorHAnsi"/>
          <w:lang w:val="en-US"/>
        </w:rPr>
        <w:t xml:space="preserve">4. </w:t>
      </w:r>
      <w:hyperlink r:id="rId11" w:history="1">
        <w:r w:rsidRPr="00D32416">
          <w:rPr>
            <w:rFonts w:eastAsia="Times New Roman" w:cstheme="minorHAnsi"/>
            <w:lang w:val="en-US" w:eastAsia="el-GR"/>
          </w:rPr>
          <w:t>D'Amico AV, Whittington R, Malkowicz SB, et al. Biochemical outcome after radical prostatectomy, external beam radiation therapy, or interstitial radiation therapy for clinically localized prostate cancer. JAMA 1998; 280:969.</w:t>
        </w:r>
      </w:hyperlink>
    </w:p>
    <w:p w14:paraId="7585924B" w14:textId="77777777" w:rsidR="00892E74" w:rsidRPr="00D32416" w:rsidRDefault="00892E74" w:rsidP="00D32416">
      <w:pPr>
        <w:spacing w:line="360" w:lineRule="auto"/>
        <w:rPr>
          <w:rFonts w:cstheme="minorHAnsi"/>
          <w:lang w:val="en-US"/>
        </w:rPr>
      </w:pPr>
      <w:r w:rsidRPr="00D32416">
        <w:rPr>
          <w:rFonts w:cstheme="minorHAnsi"/>
          <w:lang w:val="en-US"/>
        </w:rPr>
        <w:t xml:space="preserve">5. </w:t>
      </w:r>
      <w:hyperlink r:id="rId12" w:history="1">
        <w:r w:rsidRPr="00D32416">
          <w:rPr>
            <w:rFonts w:eastAsia="Times New Roman" w:cstheme="minorHAnsi"/>
            <w:lang w:val="en-US" w:eastAsia="el-GR"/>
          </w:rPr>
          <w:t>Mottet N, Bellmunt J, Bolla M, et al. EAU-ESTRO-SIOG Guidelines on Prostate Cancer. Part 1: Screening, Diagnosis, and Local Treatment with Curative Intent. Eur Urol 2017; 71:618.</w:t>
        </w:r>
      </w:hyperlink>
    </w:p>
    <w:p w14:paraId="204A3B2A" w14:textId="77777777" w:rsidR="00892E74" w:rsidRPr="00D32416" w:rsidRDefault="00892E74" w:rsidP="00D32416">
      <w:pPr>
        <w:spacing w:line="360" w:lineRule="auto"/>
        <w:rPr>
          <w:rFonts w:cstheme="minorHAnsi"/>
          <w:lang w:val="en-US"/>
        </w:rPr>
      </w:pPr>
      <w:r w:rsidRPr="00D32416">
        <w:rPr>
          <w:rFonts w:eastAsia="Times New Roman" w:cstheme="minorHAnsi"/>
          <w:lang w:val="en-US" w:eastAsia="el-GR"/>
        </w:rPr>
        <w:t xml:space="preserve">6. </w:t>
      </w:r>
      <w:hyperlink r:id="rId13" w:history="1">
        <w:r w:rsidRPr="00D32416">
          <w:rPr>
            <w:rFonts w:eastAsia="Times New Roman" w:cstheme="minorHAnsi"/>
            <w:lang w:val="en-US" w:eastAsia="el-GR"/>
          </w:rPr>
          <w:t xml:space="preserve">Gnanapragasam VJ, Lophatananon A, Wright KA, et al. Improving Clinical Risk Stratification at Diagnosis in Primary Prostate Cancer: A Prognostic Modelling Study. PLoS Med 2016; </w:t>
        </w:r>
        <w:proofErr w:type="gramStart"/>
        <w:r w:rsidRPr="00D32416">
          <w:rPr>
            <w:rFonts w:eastAsia="Times New Roman" w:cstheme="minorHAnsi"/>
            <w:lang w:val="en-US" w:eastAsia="el-GR"/>
          </w:rPr>
          <w:t>13:e</w:t>
        </w:r>
        <w:proofErr w:type="gramEnd"/>
        <w:r w:rsidRPr="00D32416">
          <w:rPr>
            <w:rFonts w:eastAsia="Times New Roman" w:cstheme="minorHAnsi"/>
            <w:lang w:val="en-US" w:eastAsia="el-GR"/>
          </w:rPr>
          <w:t>1002063.</w:t>
        </w:r>
      </w:hyperlink>
    </w:p>
    <w:p w14:paraId="5ACC6DBB" w14:textId="77777777" w:rsidR="00892E74" w:rsidRPr="00D32416" w:rsidRDefault="00892E74" w:rsidP="00D32416">
      <w:pPr>
        <w:spacing w:line="360" w:lineRule="auto"/>
        <w:rPr>
          <w:rFonts w:cstheme="minorHAnsi"/>
          <w:lang w:val="en-US"/>
        </w:rPr>
      </w:pPr>
      <w:r w:rsidRPr="00D32416">
        <w:rPr>
          <w:rFonts w:cstheme="minorHAnsi"/>
          <w:lang w:val="en-US"/>
        </w:rPr>
        <w:t>7. Cooperberg MR, Hilton JF, Carroll PR. The CAPRA-S score: A straightforward tool for improved prediction of outcomes after radical prostatectomy. Cancer 2011; 117:5039.</w:t>
      </w:r>
    </w:p>
    <w:p w14:paraId="6F9A96F7" w14:textId="77777777" w:rsidR="00892E74" w:rsidRPr="00D32416" w:rsidRDefault="00892E74" w:rsidP="00D32416">
      <w:pPr>
        <w:spacing w:line="360" w:lineRule="auto"/>
        <w:rPr>
          <w:rFonts w:cstheme="minorHAnsi"/>
          <w:lang w:val="en-US"/>
        </w:rPr>
      </w:pPr>
      <w:r w:rsidRPr="00D32416">
        <w:rPr>
          <w:rFonts w:cstheme="minorHAnsi"/>
          <w:lang w:val="en-US"/>
        </w:rPr>
        <w:t>8. Mottet N, Bellmunt J, Bolla M, et al. EAU-ESTRO-SIOG Guidelines on Prostate Cancer. Part 1: Screening, Diagnosis, and Local Treatment with Curative Intent. Eur Urol 2017; 71:618.</w:t>
      </w:r>
    </w:p>
    <w:p w14:paraId="189E817C" w14:textId="77777777" w:rsidR="00892E74" w:rsidRPr="00D32416" w:rsidRDefault="00892E74" w:rsidP="00D32416">
      <w:pPr>
        <w:spacing w:line="360" w:lineRule="auto"/>
        <w:rPr>
          <w:rFonts w:cstheme="minorHAnsi"/>
          <w:lang w:val="en-US"/>
        </w:rPr>
      </w:pPr>
      <w:r w:rsidRPr="00D32416">
        <w:rPr>
          <w:rFonts w:cstheme="minorHAnsi"/>
          <w:lang w:val="en-US"/>
        </w:rPr>
        <w:t>9. Sanda MG, Cadeddu JA, Kirkby E, et al. Clinically Localized Prostate Cancer: AUA/ASTRO/SUO Guideline. Part I: Risk Stratification, Shared Decision Making, and Care Options. J Urol 2018; 199:683.</w:t>
      </w:r>
    </w:p>
    <w:p w14:paraId="13DA405A" w14:textId="77777777" w:rsidR="00892E74" w:rsidRPr="00D32416" w:rsidRDefault="00892E74" w:rsidP="00D32416">
      <w:pPr>
        <w:spacing w:line="360" w:lineRule="auto"/>
        <w:rPr>
          <w:rFonts w:cstheme="minorHAnsi"/>
          <w:lang w:val="en-US"/>
        </w:rPr>
      </w:pPr>
      <w:r w:rsidRPr="00D32416">
        <w:rPr>
          <w:rFonts w:cstheme="minorHAnsi"/>
          <w:lang w:val="en-US"/>
        </w:rPr>
        <w:t xml:space="preserve">10. Gnanapragasam VJ, Lophatananon A, Wright KA, et al. Improving Clinical Risk Stratification at Diagnosis in Primary Prostate Cancer: A Prognostic Modelling Study. PLoS Med 2016; </w:t>
      </w:r>
      <w:proofErr w:type="gramStart"/>
      <w:r w:rsidRPr="00D32416">
        <w:rPr>
          <w:rFonts w:cstheme="minorHAnsi"/>
          <w:lang w:val="en-US"/>
        </w:rPr>
        <w:t>13:e</w:t>
      </w:r>
      <w:proofErr w:type="gramEnd"/>
      <w:r w:rsidRPr="00D32416">
        <w:rPr>
          <w:rFonts w:cstheme="minorHAnsi"/>
          <w:lang w:val="en-US"/>
        </w:rPr>
        <w:t>1002063.</w:t>
      </w:r>
    </w:p>
    <w:p w14:paraId="36E3690E" w14:textId="77777777" w:rsidR="00892E74" w:rsidRPr="00D32416" w:rsidRDefault="00892E74" w:rsidP="00D32416">
      <w:pPr>
        <w:spacing w:line="360" w:lineRule="auto"/>
        <w:rPr>
          <w:rFonts w:cstheme="minorHAnsi"/>
          <w:lang w:val="en-US"/>
        </w:rPr>
      </w:pPr>
      <w:r w:rsidRPr="00D32416">
        <w:rPr>
          <w:rFonts w:cstheme="minorHAnsi"/>
          <w:lang w:val="en-US"/>
        </w:rPr>
        <w:lastRenderedPageBreak/>
        <w:t>11. National Comprehensive Cancer Network (NCCN). NCCN clinical practice guidelines in oncology. https://www.nccn.org/professionals/physician_gls (Accessed on October 14, 2020).</w:t>
      </w:r>
    </w:p>
    <w:p w14:paraId="4D4205F1" w14:textId="77777777" w:rsidR="00892E74" w:rsidRPr="00D32416" w:rsidRDefault="00892E74" w:rsidP="00D32416">
      <w:pPr>
        <w:spacing w:line="360" w:lineRule="auto"/>
        <w:rPr>
          <w:rFonts w:cstheme="minorHAnsi"/>
          <w:lang w:val="en-US"/>
        </w:rPr>
      </w:pPr>
      <w:r w:rsidRPr="00D32416">
        <w:rPr>
          <w:rFonts w:cstheme="minorHAnsi"/>
          <w:lang w:val="en-US"/>
        </w:rPr>
        <w:t>12. Spratt DE, Zhang J, Santiago-Jiménez M, et al. Development and Validation of a Novel Integrated Clinical-Genomic Risk Group Classification for Localized Prostate Cancer. J Clin Oncol 2018; 36:581.</w:t>
      </w:r>
    </w:p>
    <w:p w14:paraId="78EACFCE" w14:textId="77777777" w:rsidR="00892E74" w:rsidRPr="00D32416" w:rsidRDefault="00892E74" w:rsidP="00D32416">
      <w:pPr>
        <w:spacing w:line="360" w:lineRule="auto"/>
        <w:rPr>
          <w:rFonts w:cstheme="minorHAnsi"/>
          <w:lang w:val="en-US"/>
        </w:rPr>
      </w:pPr>
      <w:r w:rsidRPr="00D32416">
        <w:rPr>
          <w:rFonts w:cstheme="minorHAnsi"/>
          <w:lang w:val="en-US"/>
        </w:rPr>
        <w:t xml:space="preserve">13. Bekelman JE, Rumble RB, Chen RC, et al. Clinically Localized Prostate Cancer: ASCO Clinical Practice Guideline Endorsement of an American Urological Association/American Society for Radiation Oncology/Society of Urologic Oncology Guideline. J Clin Oncol 2018; 36:3251. </w:t>
      </w:r>
    </w:p>
    <w:p w14:paraId="63330932" w14:textId="77777777" w:rsidR="00892E74" w:rsidRPr="00D32416" w:rsidRDefault="00892E74" w:rsidP="00D32416">
      <w:pPr>
        <w:spacing w:line="360" w:lineRule="auto"/>
        <w:rPr>
          <w:rFonts w:cstheme="minorHAnsi"/>
          <w:lang w:val="en-US"/>
        </w:rPr>
      </w:pPr>
      <w:r w:rsidRPr="00D32416">
        <w:rPr>
          <w:rFonts w:cstheme="minorHAnsi"/>
          <w:lang w:val="en-US"/>
        </w:rPr>
        <w:t>14. Sanda MG, Cadeddu JA, Kirkby E, et al. Clinically Localized Prostate Cancer: AUA/ASTRO/SUO Guideline. Part II: Recommended Approaches and Details of Specific Care Options. J Urol 2018; 199:990.</w:t>
      </w:r>
    </w:p>
    <w:p w14:paraId="37F4AAA4" w14:textId="77777777" w:rsidR="00892E74" w:rsidRPr="00D32416" w:rsidRDefault="00892E74" w:rsidP="00D32416">
      <w:pPr>
        <w:spacing w:line="360" w:lineRule="auto"/>
        <w:rPr>
          <w:rFonts w:cstheme="minorHAnsi"/>
          <w:lang w:val="en-US"/>
        </w:rPr>
      </w:pPr>
      <w:r w:rsidRPr="00D32416">
        <w:rPr>
          <w:rFonts w:cstheme="minorHAnsi"/>
          <w:lang w:val="en-US"/>
        </w:rPr>
        <w:t>15. Donovan JL, Hamdy FC, Lane JA, et al. Patient-Reported Outcomes after Monitoring, Surgery, or Radiotherapy for Prostate Cancer. N Engl J Med 2016; 375:1425.</w:t>
      </w:r>
    </w:p>
    <w:p w14:paraId="40432980" w14:textId="77777777" w:rsidR="00892E74" w:rsidRPr="00D32416" w:rsidRDefault="00892E74" w:rsidP="00D32416">
      <w:pPr>
        <w:spacing w:line="360" w:lineRule="auto"/>
        <w:rPr>
          <w:rFonts w:cstheme="minorHAnsi"/>
          <w:lang w:val="en-US"/>
        </w:rPr>
      </w:pPr>
      <w:r w:rsidRPr="00D32416">
        <w:rPr>
          <w:rFonts w:cstheme="minorHAnsi"/>
          <w:lang w:val="en-US"/>
        </w:rPr>
        <w:t>16. Hamdy FC, Donovan JL, Lane JA, et al. 10-Year Outcomes after Monitoring, Surgery, or Radiotherapy for Localized Prostate Cancer. N Engl J Med 2016; 375:1415.</w:t>
      </w:r>
    </w:p>
    <w:p w14:paraId="6B9BD7C2"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17. Morris DE, Emami B, Mauch PM, et al. Evidence-based review of three-dimensional conformal radiotherapy for localized prostate cancer: an ASTRO outcomes initiative. Int J Radiat Oncol Biol Phys 2005; 62:3.</w:t>
      </w:r>
    </w:p>
    <w:p w14:paraId="54B11986" w14:textId="77777777" w:rsidR="00892E74" w:rsidRPr="00D32416" w:rsidRDefault="00892E74" w:rsidP="00D32416">
      <w:pPr>
        <w:spacing w:line="360" w:lineRule="auto"/>
        <w:rPr>
          <w:rFonts w:cstheme="minorHAnsi"/>
          <w:lang w:val="en-US"/>
        </w:rPr>
      </w:pPr>
      <w:r w:rsidRPr="00D32416">
        <w:rPr>
          <w:rFonts w:cstheme="minorHAnsi"/>
          <w:lang w:val="en-US"/>
        </w:rPr>
        <w:t xml:space="preserve">18. Melian E, Mageras GS, Fuks Z, et al. Variation in prostate position quantitation and implications for three-dimensional conformal treatment planning. Int J Radiat Oncol Biol Phys 1997; 38:73.  </w:t>
      </w:r>
    </w:p>
    <w:p w14:paraId="292D00D3" w14:textId="77777777" w:rsidR="00892E74" w:rsidRPr="00D32416" w:rsidRDefault="00892E74" w:rsidP="00D32416">
      <w:pPr>
        <w:spacing w:line="360" w:lineRule="auto"/>
        <w:rPr>
          <w:rFonts w:cstheme="minorHAnsi"/>
          <w:lang w:val="en-US"/>
        </w:rPr>
      </w:pPr>
      <w:r w:rsidRPr="00D32416">
        <w:rPr>
          <w:rFonts w:cstheme="minorHAnsi"/>
          <w:lang w:val="en-US"/>
        </w:rPr>
        <w:t>19. De Neve W, Claus F, Van Houtte P, et al. [Intensity modulated radiotherapy with dynamic multileaf collimator. Technique and clinical experience]. Cancer Radiother 1999; 3:378.</w:t>
      </w:r>
    </w:p>
    <w:p w14:paraId="3E855BA5"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20.Sheets NC, Goldin GH, Meyer AM, et al. Intensity-modulated radiation therapy, proton therapy, or conformal radiation therapy and morbidity and disease control in localized prostate cancer. JAMA 2012; 307:1611.</w:t>
      </w:r>
    </w:p>
    <w:p w14:paraId="1D199D3D"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lastRenderedPageBreak/>
        <w:t>21.Bauman G, Rumble RB, Chen J, et al. Intensity-modulated radiotherapy in the treatment of prostate cancer. Clin Oncol (R Coll Radiol) 2012; 24:461.</w:t>
      </w:r>
    </w:p>
    <w:p w14:paraId="7AB1EDE5"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 xml:space="preserve">22. Heidenreich A, Bastian PJ, Bellmunt J, et al. EAU guidelines on prostate cancer. part 1: screening, diagnosis, and local treatment with curative intent-update 2013. Eur Urol 2014; 65:124. </w:t>
      </w:r>
    </w:p>
    <w:p w14:paraId="17006800"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23.Sanguineti G, Cavey ML, Endres EJ, et al. Is IMRT needed to spare the rectum when pelvic lymph nodes are part of the initial treatment volume for prostate cancer? Int J Radiat Oncol Biol Phys 2006; 64:151.</w:t>
      </w:r>
    </w:p>
    <w:p w14:paraId="05A27A95"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24.Wang L, Hoban P, Paskalev K, et al. Dosimetric advantage and clinical implication of a micro-multileaf collimator in the treatment of prostate with intensity-modulated radiotherapy. Med Dosim 2005; 30:97.</w:t>
      </w:r>
    </w:p>
    <w:p w14:paraId="45454A8B"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25.Wang-Chesebro A, Xia P, Coleman J, et al. Intensity-modulated radiotherapy improves lymph node coverage and dose to critical structures compared with three-dimensional conformal radiation therapy in clinically localized prostate cancer. Int J Radiat Oncol Biol Phys 2006; 66:654.</w:t>
      </w:r>
    </w:p>
    <w:p w14:paraId="0E499AFA"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26.Morgan SC, Hoffman K, Loblaw DA, et al. Hypofractionated Radiation Therapy for Localized Prostate Cancer: An ASTRO, ASCO, and AUA Evidence-Based Guideline. J Urol 2018.</w:t>
      </w:r>
    </w:p>
    <w:p w14:paraId="38CB328D"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27.Nutting CM, Convery DJ, Cosgrove VP, et al. Reduction of small and large bowel irradiation using an optimized intensity-modulated pelvic radiotherapy technique in patients with prostate cancer. Int J Radiat Oncol Biol Phys 2000; 48:649.</w:t>
      </w:r>
    </w:p>
    <w:p w14:paraId="665F1ADF"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28.Morgan SC, Hoffman K, Loblaw DA, et al. Hypofractionated Radiation Therapy for Localized Prostate Cancer: An ASTRO, ASCO, and AUA Evidence-Based Guideline. J Urol 2018.</w:t>
      </w:r>
    </w:p>
    <w:p w14:paraId="6996BA12"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 xml:space="preserve">27.Aluwini S, Pos F, Schimmel E, et al. Hypofractionated versus conventionally fractionated radiotherapy for patients with prostate cancer (HYPRO): acute toxicity results from a randomised non-inferiority phase 3 trial. Lancet Oncol 2015; 16:274. </w:t>
      </w:r>
    </w:p>
    <w:p w14:paraId="566D354E"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28.Wortel RC, Incrocci L, Pos FJ, et al. Acute toxicity after image-guided intensity modulated radiation therapy compared to 3D conformal radiation therapy in prostate cancer patients. Int J Radiat Oncol Biol Phys 2015; 91:737.</w:t>
      </w:r>
    </w:p>
    <w:p w14:paraId="36A2D956"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lastRenderedPageBreak/>
        <w:t>29.Peeters ST, Heemsbergen WD, van Putten WL, et al. Acute and late complications after radiotherapy for prostate cancer: results of a multicenter randomized trial comparing 68 Gy to 78 Gy. Int J Radiat Oncol Biol Phys 2005; 61:1019.</w:t>
      </w:r>
    </w:p>
    <w:p w14:paraId="20789694"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30.Gill S, Thomas J, Fox C, et al. Acute toxicity in prostate cancer patients treated with and without image-guided radiotherapy. Radiat Oncol 2011; 6:145.</w:t>
      </w:r>
    </w:p>
    <w:p w14:paraId="4D35798A"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31.Zelefsky MJ, Kollmeier M, Cox B, et al. Improved clinical outcomes with high-dose image guided radiotherapy compared with non-IGRT for the treatment of clinically localized prostate cancer. Int J Radiat Oncol Biol Phys 2012; 84:125.</w:t>
      </w:r>
    </w:p>
    <w:p w14:paraId="178491CE"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32.Sandler HM, Liu PY, Dunn RL, et al. Reduction in patient-reported acute morbidity in prostate cancer patients treated with 81-Gy Intensity-modulated radiotherapy using reduced planning target volume margins and electromagnetic tracking: assessing the impact of margin reduction study. Urology 2010; 75:1004.</w:t>
      </w:r>
    </w:p>
    <w:p w14:paraId="53DA4A2D"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33.Singh J, Greer PB, White MA, et al. Treatment-related morbidity in prostate cancer: a comparison of 3-dimensional conformal radiation therapy with and without image guidance using implanted fiducial markers. Int J Radiat Oncol Biol Phys 2013; 85:1018.</w:t>
      </w:r>
    </w:p>
    <w:p w14:paraId="785C7EFB"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34. Murray J, Griffin C, Gulliford S, et al. A randomised assessment of image guided radiotherapy within a phase 3 trial of conventional or hypofractionated high dose intensity modulated radiotherapy for prostate cancer. Radiother Oncol 2020; 142:62.</w:t>
      </w:r>
    </w:p>
    <w:p w14:paraId="0F804CD6"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35. Nossiter J, Sujenthiran A, Cowling TE, et al. Patient-Reported Functional Outcomes After Hypofractionated or Conventionally Fractionated Radiation for Prostate Cancer: A National Cohort Study in England. J Clin Oncol 2020; 38:744.</w:t>
      </w:r>
    </w:p>
    <w:p w14:paraId="481065B7"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 xml:space="preserve"> 36. Lee WR, Dignam JJ, Amin MB, et al. Randomized Phase III Noninferiority Study Comparing Two Radiotherapy Fractionation Schedules in Patients </w:t>
      </w:r>
      <w:proofErr w:type="gramStart"/>
      <w:r w:rsidRPr="00D32416">
        <w:rPr>
          <w:rFonts w:asciiTheme="minorHAnsi" w:hAnsiTheme="minorHAnsi" w:cstheme="minorHAnsi"/>
          <w:sz w:val="22"/>
          <w:szCs w:val="22"/>
          <w:lang w:val="en-US"/>
        </w:rPr>
        <w:t>With</w:t>
      </w:r>
      <w:proofErr w:type="gramEnd"/>
      <w:r w:rsidRPr="00D32416">
        <w:rPr>
          <w:rFonts w:asciiTheme="minorHAnsi" w:hAnsiTheme="minorHAnsi" w:cstheme="minorHAnsi"/>
          <w:sz w:val="22"/>
          <w:szCs w:val="22"/>
          <w:lang w:val="en-US"/>
        </w:rPr>
        <w:t xml:space="preserve"> Low-Risk Prostate Cancer. J Clin Oncol 2016; 34:2325.</w:t>
      </w:r>
    </w:p>
    <w:p w14:paraId="381AEB42" w14:textId="75C16AB3"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37. Catton CN, Lukka H, Gu CS, et al. Randomized Trial of a Hypofractionated Radiation Regimen for the Treatment of Localized Prostate Cancer. J Clin Oncol</w:t>
      </w:r>
      <w:r w:rsidR="00D60057" w:rsidRPr="00343EDD">
        <w:rPr>
          <w:rFonts w:asciiTheme="minorHAnsi" w:hAnsiTheme="minorHAnsi" w:cstheme="minorHAnsi"/>
          <w:sz w:val="22"/>
          <w:szCs w:val="22"/>
          <w:lang w:val="en-GB"/>
        </w:rPr>
        <w:t xml:space="preserve"> </w:t>
      </w:r>
      <w:r w:rsidRPr="00D32416">
        <w:rPr>
          <w:rFonts w:asciiTheme="minorHAnsi" w:hAnsiTheme="minorHAnsi" w:cstheme="minorHAnsi"/>
          <w:sz w:val="22"/>
          <w:szCs w:val="22"/>
          <w:lang w:val="en-US"/>
        </w:rPr>
        <w:t>2017;</w:t>
      </w:r>
      <w:r w:rsidR="00F2778D" w:rsidRPr="00343EDD">
        <w:rPr>
          <w:rFonts w:asciiTheme="minorHAnsi" w:hAnsiTheme="minorHAnsi" w:cstheme="minorHAnsi"/>
          <w:sz w:val="22"/>
          <w:szCs w:val="22"/>
          <w:lang w:val="en-GB"/>
        </w:rPr>
        <w:t xml:space="preserve"> </w:t>
      </w:r>
      <w:r w:rsidRPr="00D32416">
        <w:rPr>
          <w:rFonts w:asciiTheme="minorHAnsi" w:hAnsiTheme="minorHAnsi" w:cstheme="minorHAnsi"/>
          <w:sz w:val="22"/>
          <w:szCs w:val="22"/>
          <w:lang w:val="en-US"/>
        </w:rPr>
        <w:t>JCO2016717397.</w:t>
      </w:r>
    </w:p>
    <w:p w14:paraId="7BC00B47"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lastRenderedPageBreak/>
        <w:t>38. Dearnaley D, Syndikus I, Mossop H, et al. Conventional versus hypofractionated high-dose intensity-modulated radiotherapy for prostate cancer: 5-year outcomes of the randomised, non-inferiority, phase 3 CHHiP trial. Lancet Oncol 2016; 17:1047.</w:t>
      </w:r>
    </w:p>
    <w:p w14:paraId="117DADDD"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39. Pollack A, Walker G, Horwitz EM, et al. Randomized trial of hypofractionated external-beam radiotherapy for prostate cancer. J Clin Oncol 2013; 31:3860.</w:t>
      </w:r>
    </w:p>
    <w:p w14:paraId="1D83AF8F"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40. Hickey BE, James ML, Daly T, et al. Hypofractionation for clinically localized prostate cancer. Cochrane Database Syst Rev 2019; 9:CD011462.</w:t>
      </w:r>
    </w:p>
    <w:p w14:paraId="5FF2C43C"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41. Avkshtol V, Ruth KJ, Ross EA, et al. Ten-Year Update of a Randomized, Prospective Trial of Conventional Fractionated Versus Moderate Hypofractionated Radiation Therapy for Localized Prostate Cancer. J Clin Oncol 2020; 38:1676.</w:t>
      </w:r>
    </w:p>
    <w:p w14:paraId="7F5F0FFA"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42. Incrocci L, Wortel RC, Alemayehu WG, et al. Hypofractionated versus conventionally fractionated radiotherapy for patients with localised prostate cancer (HYPRO): final efficacy results from a randomised, multicentre, open-label, phase 3 trial. Lancet Oncol 2016; 17:1061.</w:t>
      </w:r>
    </w:p>
    <w:p w14:paraId="7CF4F662"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43.Hoffman KE, Voong KR, Levy LB, et al. Randomized Trial of Hypofractionated, Dose-Escalated, Intensity-Modulated Radiation Therapy (IMRT) Versus Conventionally Fractionated IMRT for Localized Prostate Cancer. J Clin Oncol 2018; 36:2943.</w:t>
      </w:r>
    </w:p>
    <w:p w14:paraId="5C9D0483"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44. Widmark A, Gunnlaugsson A, Beckman L, et al. Ultra-hypofractionated versus conventionally fractionated radiotherapy for prostate cancer: 5-year outcomes of the HYPO-RT-PC randomised, non-inferiority, phase 3 trial. Lancet 2019; 394:385.</w:t>
      </w:r>
    </w:p>
    <w:p w14:paraId="0EC2F99F"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45.Brand DH, Tree AC, Ostler P, et al. Intensity-modulated fractionated radiotherapy versus stereotactic body radiotherapy for prostate cancer (PACE-B): acute toxicity findings from an international, randomised, open-label, phase 3, non-inferiority trial. Lancet Oncol 2019; 20:1531.</w:t>
      </w:r>
    </w:p>
    <w:p w14:paraId="68EF0F0B"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46.King CR, Freeman D, Kaplan I, et al. Stereotactic body radiotherapy for localized prostate cancer: pooled analysis from a multi-institutional consortium of prospective phase II trials. Radiother Oncol 2013; 109:217.</w:t>
      </w:r>
    </w:p>
    <w:p w14:paraId="3621015F"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lastRenderedPageBreak/>
        <w:t xml:space="preserve">47.Jackson WC, Silva J, Hartman HE, et al. Stereotactic Body Radiation Therapy for Localized Prostate Cancer: A Systematic Review and Meta-Analysis of Over 6,000 Patients Treated </w:t>
      </w:r>
      <w:proofErr w:type="gramStart"/>
      <w:r w:rsidRPr="00D32416">
        <w:rPr>
          <w:rFonts w:asciiTheme="minorHAnsi" w:hAnsiTheme="minorHAnsi" w:cstheme="minorHAnsi"/>
          <w:sz w:val="22"/>
          <w:szCs w:val="22"/>
          <w:lang w:val="en-US"/>
        </w:rPr>
        <w:t>On</w:t>
      </w:r>
      <w:proofErr w:type="gramEnd"/>
      <w:r w:rsidRPr="00D32416">
        <w:rPr>
          <w:rFonts w:asciiTheme="minorHAnsi" w:hAnsiTheme="minorHAnsi" w:cstheme="minorHAnsi"/>
          <w:sz w:val="22"/>
          <w:szCs w:val="22"/>
          <w:lang w:val="en-US"/>
        </w:rPr>
        <w:t xml:space="preserve"> Prospective Studies. Int J Radiat Oncol Biol Phys 2019; 104:778.</w:t>
      </w:r>
    </w:p>
    <w:p w14:paraId="2B3E7454"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48.Yu JB, Cramer LD, Herrin J, et al. Stereotactic body radiation therapy versus intensity-modulated radiation therapy for prostate cancer: comparison of toxicity. J Clin Oncol 2014; 32:1195.</w:t>
      </w:r>
    </w:p>
    <w:p w14:paraId="160173B0" w14:textId="77777777" w:rsidR="00892E74" w:rsidRPr="00D32416" w:rsidRDefault="00892E74" w:rsidP="00D32416">
      <w:pPr>
        <w:pStyle w:val="headinganchor"/>
        <w:shd w:val="clear" w:color="auto" w:fill="FFFFFF"/>
        <w:spacing w:after="0" w:line="360" w:lineRule="auto"/>
        <w:rPr>
          <w:rFonts w:asciiTheme="minorHAnsi" w:hAnsiTheme="minorHAnsi" w:cstheme="minorHAnsi"/>
          <w:sz w:val="22"/>
          <w:szCs w:val="22"/>
          <w:lang w:val="en-US"/>
        </w:rPr>
      </w:pPr>
      <w:r w:rsidRPr="00D32416">
        <w:rPr>
          <w:rFonts w:asciiTheme="minorHAnsi" w:hAnsiTheme="minorHAnsi" w:cstheme="minorHAnsi"/>
          <w:sz w:val="22"/>
          <w:szCs w:val="22"/>
          <w:lang w:val="en-US"/>
        </w:rPr>
        <w:t xml:space="preserve">49. Kishan AU, Dang A, Katz AJ, et al. Long-term Outcomes of Stereotactic Body Radiotherapy for Low-Risk and Intermediate-Risk Prostate Cancer. JAMA Netw Open 2019; </w:t>
      </w:r>
      <w:proofErr w:type="gramStart"/>
      <w:r w:rsidRPr="00D32416">
        <w:rPr>
          <w:rFonts w:asciiTheme="minorHAnsi" w:hAnsiTheme="minorHAnsi" w:cstheme="minorHAnsi"/>
          <w:sz w:val="22"/>
          <w:szCs w:val="22"/>
          <w:lang w:val="en-US"/>
        </w:rPr>
        <w:t>2:e</w:t>
      </w:r>
      <w:proofErr w:type="gramEnd"/>
      <w:r w:rsidRPr="00D32416">
        <w:rPr>
          <w:rFonts w:asciiTheme="minorHAnsi" w:hAnsiTheme="minorHAnsi" w:cstheme="minorHAnsi"/>
          <w:sz w:val="22"/>
          <w:szCs w:val="22"/>
          <w:lang w:val="en-US"/>
        </w:rPr>
        <w:t>188006.</w:t>
      </w:r>
    </w:p>
    <w:p w14:paraId="50BFF11E" w14:textId="77777777" w:rsidR="00892E74" w:rsidRPr="00D32416" w:rsidRDefault="00892E74" w:rsidP="00D32416">
      <w:pPr>
        <w:shd w:val="clear" w:color="auto" w:fill="FFFFFF"/>
        <w:spacing w:before="120" w:after="120" w:line="360" w:lineRule="auto"/>
        <w:ind w:right="300"/>
        <w:rPr>
          <w:rFonts w:eastAsia="Times New Roman" w:cstheme="minorHAnsi"/>
          <w:lang w:val="en-US" w:eastAsia="el-GR"/>
        </w:rPr>
      </w:pPr>
      <w:r w:rsidRPr="00D32416">
        <w:rPr>
          <w:rFonts w:cstheme="minorHAnsi"/>
          <w:lang w:val="en-US"/>
        </w:rPr>
        <w:t xml:space="preserve">50. </w:t>
      </w:r>
      <w:hyperlink r:id="rId14" w:history="1">
        <w:r w:rsidRPr="00D32416">
          <w:rPr>
            <w:rFonts w:eastAsia="Times New Roman" w:cstheme="minorHAnsi"/>
            <w:lang w:val="en-US" w:eastAsia="el-GR"/>
          </w:rPr>
          <w:t>Dearnaley DP, Sydes MR, Graham JD, Aird EG, Bottomley D, Cowan RA, Huddart RA, Jose CC, Matthews JH, Millar J, Moore AR, Morgan RC, Russell JM, Scrase CD, Stephens RJ, Syndikus I, Parmar MK; RT01 collaborators. Escalated-dose versus standard-dose conformal radiotherapy in prostate cancer: first results from the MRC RT01 randomised controlled trial. Lancet Oncol. 2007 Jun;8(6):475-87.</w:t>
        </w:r>
      </w:hyperlink>
    </w:p>
    <w:p w14:paraId="6E91DEFE" w14:textId="77777777" w:rsidR="00496D82" w:rsidRPr="00D32416" w:rsidRDefault="00892E74" w:rsidP="00D32416">
      <w:pPr>
        <w:shd w:val="clear" w:color="auto" w:fill="FFFFFF"/>
        <w:spacing w:after="0" w:line="360" w:lineRule="auto"/>
        <w:rPr>
          <w:rFonts w:eastAsia="Times New Roman" w:cstheme="minorHAnsi"/>
          <w:color w:val="000000"/>
          <w:lang w:eastAsia="el-GR"/>
        </w:rPr>
      </w:pPr>
      <w:r w:rsidRPr="00D32416">
        <w:rPr>
          <w:rFonts w:cstheme="minorHAnsi"/>
          <w:lang w:val="en-US"/>
        </w:rPr>
        <w:t xml:space="preserve">51. </w:t>
      </w:r>
      <w:hyperlink r:id="rId15" w:history="1">
        <w:r w:rsidRPr="00D32416">
          <w:rPr>
            <w:rFonts w:eastAsia="Times New Roman" w:cstheme="minorHAnsi"/>
            <w:lang w:val="en-US" w:eastAsia="el-GR"/>
          </w:rPr>
          <w:t xml:space="preserve">Dess RT, Devasia TP, Aghdam N, Jackson WC, Soni PD, Smith CP, Mitchell AL, Suy S, Hamstra DA, Jolly S, Nguyen PL, Feng FY, Schipper MJ, Skolarus TA, Miller DC, Wittmann DA, Collins SP, Spratt DE. Patient-Reported Sexual Aid Utilization and Efficacy After Radiation Therapy for Localized Prostate Cancer. Int J Radiat Oncol Biol Phys. 2018 Jun 1;101(2):376-386. doi: 10.1016/j.ijrobp.2018.01.055. </w:t>
        </w:r>
        <w:r w:rsidRPr="00D32416">
          <w:rPr>
            <w:rFonts w:eastAsia="Times New Roman" w:cstheme="minorHAnsi"/>
            <w:lang w:eastAsia="el-GR"/>
          </w:rPr>
          <w:t>Epub 2018 Jan 31.</w:t>
        </w:r>
      </w:hyperlink>
    </w:p>
    <w:p w14:paraId="6D24A0F8" w14:textId="77777777" w:rsidR="00496D82" w:rsidRDefault="00496D82" w:rsidP="00282F8A">
      <w:pPr>
        <w:shd w:val="clear" w:color="auto" w:fill="FFFFFF"/>
        <w:spacing w:after="120" w:line="240" w:lineRule="auto"/>
        <w:ind w:right="300"/>
        <w:rPr>
          <w:rFonts w:ascii="Helvetica" w:eastAsia="Times New Roman" w:hAnsi="Helvetica" w:cs="Helvetica"/>
          <w:color w:val="000000"/>
          <w:sz w:val="13"/>
          <w:szCs w:val="13"/>
          <w:lang w:eastAsia="el-GR"/>
        </w:rPr>
      </w:pPr>
    </w:p>
    <w:p w14:paraId="31403D1C" w14:textId="77777777" w:rsidR="00496D82" w:rsidRPr="00496D82" w:rsidRDefault="00496D82" w:rsidP="00282F8A">
      <w:pPr>
        <w:shd w:val="clear" w:color="auto" w:fill="FFFFFF"/>
        <w:spacing w:after="120" w:line="240" w:lineRule="auto"/>
        <w:ind w:right="300"/>
        <w:rPr>
          <w:rFonts w:ascii="Helvetica" w:eastAsia="Times New Roman" w:hAnsi="Helvetica" w:cs="Helvetica"/>
          <w:color w:val="000000"/>
          <w:sz w:val="13"/>
          <w:szCs w:val="13"/>
          <w:lang w:eastAsia="el-GR"/>
        </w:rPr>
      </w:pPr>
    </w:p>
    <w:sectPr w:rsidR="00496D82" w:rsidRPr="00496D82" w:rsidSect="006E5C88">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366B" w14:textId="77777777" w:rsidR="002D0371" w:rsidRDefault="002D0371" w:rsidP="00D60057">
      <w:pPr>
        <w:spacing w:after="0" w:line="240" w:lineRule="auto"/>
      </w:pPr>
      <w:r>
        <w:separator/>
      </w:r>
    </w:p>
  </w:endnote>
  <w:endnote w:type="continuationSeparator" w:id="0">
    <w:p w14:paraId="693F4C26" w14:textId="77777777" w:rsidR="002D0371" w:rsidRDefault="002D0371" w:rsidP="00D6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273100"/>
      <w:docPartObj>
        <w:docPartGallery w:val="Page Numbers (Bottom of Page)"/>
        <w:docPartUnique/>
      </w:docPartObj>
    </w:sdtPr>
    <w:sdtContent>
      <w:p w14:paraId="37BD5780" w14:textId="77777777" w:rsidR="00F70076" w:rsidRDefault="00F70076">
        <w:pPr>
          <w:pStyle w:val="a7"/>
          <w:jc w:val="center"/>
        </w:pPr>
      </w:p>
      <w:p w14:paraId="615E43E6" w14:textId="6DA6EC1F" w:rsidR="00D60057" w:rsidRDefault="00D60057">
        <w:pPr>
          <w:pStyle w:val="a7"/>
          <w:jc w:val="center"/>
        </w:pPr>
        <w:r>
          <w:fldChar w:fldCharType="begin"/>
        </w:r>
        <w:r>
          <w:instrText>PAGE   \* MERGEFORMAT</w:instrText>
        </w:r>
        <w:r>
          <w:fldChar w:fldCharType="separate"/>
        </w:r>
        <w:r>
          <w:t>2</w:t>
        </w:r>
        <w:r>
          <w:fldChar w:fldCharType="end"/>
        </w:r>
      </w:p>
    </w:sdtContent>
  </w:sdt>
  <w:p w14:paraId="7A41119E" w14:textId="77777777" w:rsidR="00D60057" w:rsidRDefault="00D600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DA54" w14:textId="77777777" w:rsidR="002D0371" w:rsidRDefault="002D0371" w:rsidP="00D60057">
      <w:pPr>
        <w:spacing w:after="0" w:line="240" w:lineRule="auto"/>
      </w:pPr>
      <w:r>
        <w:separator/>
      </w:r>
    </w:p>
  </w:footnote>
  <w:footnote w:type="continuationSeparator" w:id="0">
    <w:p w14:paraId="25B5A8DB" w14:textId="77777777" w:rsidR="002D0371" w:rsidRDefault="002D0371" w:rsidP="00D60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045D8"/>
    <w:multiLevelType w:val="multilevel"/>
    <w:tmpl w:val="888E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4D7BD9"/>
    <w:multiLevelType w:val="multilevel"/>
    <w:tmpl w:val="F6223D6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 w15:restartNumberingAfterBreak="0">
    <w:nsid w:val="5DF83715"/>
    <w:multiLevelType w:val="multilevel"/>
    <w:tmpl w:val="D20E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E3DC1"/>
    <w:multiLevelType w:val="multilevel"/>
    <w:tmpl w:val="8A04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8125F"/>
    <w:multiLevelType w:val="multilevel"/>
    <w:tmpl w:val="F9E6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6159843">
    <w:abstractNumId w:val="0"/>
  </w:num>
  <w:num w:numId="2" w16cid:durableId="485703915">
    <w:abstractNumId w:val="4"/>
  </w:num>
  <w:num w:numId="3" w16cid:durableId="1166359449">
    <w:abstractNumId w:val="1"/>
  </w:num>
  <w:num w:numId="4" w16cid:durableId="1372657717">
    <w:abstractNumId w:val="2"/>
  </w:num>
  <w:num w:numId="5" w16cid:durableId="838694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590"/>
    <w:rsid w:val="00000A36"/>
    <w:rsid w:val="00007977"/>
    <w:rsid w:val="00007A7F"/>
    <w:rsid w:val="000209A8"/>
    <w:rsid w:val="00022444"/>
    <w:rsid w:val="000430C1"/>
    <w:rsid w:val="00057E7D"/>
    <w:rsid w:val="000639BF"/>
    <w:rsid w:val="000849AD"/>
    <w:rsid w:val="0009183F"/>
    <w:rsid w:val="000B2F32"/>
    <w:rsid w:val="000D078D"/>
    <w:rsid w:val="00122279"/>
    <w:rsid w:val="0015085F"/>
    <w:rsid w:val="0017233C"/>
    <w:rsid w:val="001B322D"/>
    <w:rsid w:val="001F702E"/>
    <w:rsid w:val="00214A7F"/>
    <w:rsid w:val="00232729"/>
    <w:rsid w:val="00282F8A"/>
    <w:rsid w:val="002A39BC"/>
    <w:rsid w:val="002B4593"/>
    <w:rsid w:val="002D0371"/>
    <w:rsid w:val="002F004A"/>
    <w:rsid w:val="00343EDD"/>
    <w:rsid w:val="003745A2"/>
    <w:rsid w:val="00393B83"/>
    <w:rsid w:val="003B3F6C"/>
    <w:rsid w:val="003D6E16"/>
    <w:rsid w:val="003F0926"/>
    <w:rsid w:val="00407C27"/>
    <w:rsid w:val="00425D8B"/>
    <w:rsid w:val="00430641"/>
    <w:rsid w:val="00496D82"/>
    <w:rsid w:val="004B2028"/>
    <w:rsid w:val="004D0440"/>
    <w:rsid w:val="004E31B2"/>
    <w:rsid w:val="00523CC3"/>
    <w:rsid w:val="00550161"/>
    <w:rsid w:val="005514F4"/>
    <w:rsid w:val="00571718"/>
    <w:rsid w:val="00587B4A"/>
    <w:rsid w:val="005A16CD"/>
    <w:rsid w:val="005F60C2"/>
    <w:rsid w:val="00624949"/>
    <w:rsid w:val="00626257"/>
    <w:rsid w:val="00654590"/>
    <w:rsid w:val="0065784A"/>
    <w:rsid w:val="0067126F"/>
    <w:rsid w:val="006739CF"/>
    <w:rsid w:val="0069390D"/>
    <w:rsid w:val="006E5C88"/>
    <w:rsid w:val="00700C41"/>
    <w:rsid w:val="0075286E"/>
    <w:rsid w:val="00752FA7"/>
    <w:rsid w:val="00754B9E"/>
    <w:rsid w:val="00781EA5"/>
    <w:rsid w:val="00782873"/>
    <w:rsid w:val="007B45BE"/>
    <w:rsid w:val="007B6BBE"/>
    <w:rsid w:val="007B6F94"/>
    <w:rsid w:val="007D1B89"/>
    <w:rsid w:val="007D4423"/>
    <w:rsid w:val="00833CFF"/>
    <w:rsid w:val="0086296E"/>
    <w:rsid w:val="0087600A"/>
    <w:rsid w:val="00885CAF"/>
    <w:rsid w:val="0088605C"/>
    <w:rsid w:val="00886A56"/>
    <w:rsid w:val="00892E74"/>
    <w:rsid w:val="008C584A"/>
    <w:rsid w:val="008C75DA"/>
    <w:rsid w:val="008D6A6C"/>
    <w:rsid w:val="00904681"/>
    <w:rsid w:val="00910492"/>
    <w:rsid w:val="00926712"/>
    <w:rsid w:val="00927B21"/>
    <w:rsid w:val="009314C9"/>
    <w:rsid w:val="00944C4F"/>
    <w:rsid w:val="009460C3"/>
    <w:rsid w:val="00997119"/>
    <w:rsid w:val="00A10A2E"/>
    <w:rsid w:val="00A409F9"/>
    <w:rsid w:val="00A62E44"/>
    <w:rsid w:val="00A66987"/>
    <w:rsid w:val="00AA30CC"/>
    <w:rsid w:val="00AA7231"/>
    <w:rsid w:val="00AB7484"/>
    <w:rsid w:val="00AC74AE"/>
    <w:rsid w:val="00AD4F3F"/>
    <w:rsid w:val="00AE2EE1"/>
    <w:rsid w:val="00AF7011"/>
    <w:rsid w:val="00B027C7"/>
    <w:rsid w:val="00B02A41"/>
    <w:rsid w:val="00B23E33"/>
    <w:rsid w:val="00B55098"/>
    <w:rsid w:val="00B74251"/>
    <w:rsid w:val="00B82B87"/>
    <w:rsid w:val="00B86442"/>
    <w:rsid w:val="00BC4615"/>
    <w:rsid w:val="00C054A0"/>
    <w:rsid w:val="00C1148E"/>
    <w:rsid w:val="00C46536"/>
    <w:rsid w:val="00C6445B"/>
    <w:rsid w:val="00CB7D25"/>
    <w:rsid w:val="00CF5CDB"/>
    <w:rsid w:val="00D318A0"/>
    <w:rsid w:val="00D32416"/>
    <w:rsid w:val="00D3754F"/>
    <w:rsid w:val="00D50DD1"/>
    <w:rsid w:val="00D553A3"/>
    <w:rsid w:val="00D60057"/>
    <w:rsid w:val="00D95232"/>
    <w:rsid w:val="00DA3699"/>
    <w:rsid w:val="00DD06A3"/>
    <w:rsid w:val="00E15EF4"/>
    <w:rsid w:val="00E2177A"/>
    <w:rsid w:val="00E417F7"/>
    <w:rsid w:val="00E438C4"/>
    <w:rsid w:val="00E50782"/>
    <w:rsid w:val="00E67525"/>
    <w:rsid w:val="00EB0C1B"/>
    <w:rsid w:val="00EC5251"/>
    <w:rsid w:val="00EF2861"/>
    <w:rsid w:val="00EF6A1F"/>
    <w:rsid w:val="00F03545"/>
    <w:rsid w:val="00F043B1"/>
    <w:rsid w:val="00F05C85"/>
    <w:rsid w:val="00F2778D"/>
    <w:rsid w:val="00F54A64"/>
    <w:rsid w:val="00F70076"/>
    <w:rsid w:val="00F73D3E"/>
    <w:rsid w:val="00F83F6E"/>
    <w:rsid w:val="00FA3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11AA"/>
  <w15:docId w15:val="{17AB334D-9706-46B2-9FD4-59AD28B2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C88"/>
  </w:style>
  <w:style w:type="paragraph" w:styleId="1">
    <w:name w:val="heading 1"/>
    <w:basedOn w:val="a"/>
    <w:link w:val="1Char"/>
    <w:uiPriority w:val="9"/>
    <w:qFormat/>
    <w:rsid w:val="007B6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anchor">
    <w:name w:val="headinganchor"/>
    <w:basedOn w:val="a"/>
    <w:rsid w:val="006545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54590"/>
    <w:rPr>
      <w:color w:val="0000FF"/>
      <w:u w:val="single"/>
    </w:rPr>
  </w:style>
  <w:style w:type="paragraph" w:styleId="Web">
    <w:name w:val="Normal (Web)"/>
    <w:basedOn w:val="a"/>
    <w:uiPriority w:val="99"/>
    <w:unhideWhenUsed/>
    <w:rsid w:val="006545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ulletindent1">
    <w:name w:val="bulletindent1"/>
    <w:basedOn w:val="a"/>
    <w:rsid w:val="006545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glyph">
    <w:name w:val="glyph"/>
    <w:basedOn w:val="a0"/>
    <w:rsid w:val="00654590"/>
  </w:style>
  <w:style w:type="character" w:customStyle="1" w:styleId="h2">
    <w:name w:val="h2"/>
    <w:basedOn w:val="a0"/>
    <w:rsid w:val="00782873"/>
  </w:style>
  <w:style w:type="character" w:customStyle="1" w:styleId="headingendmark">
    <w:name w:val="headingendmark"/>
    <w:basedOn w:val="a0"/>
    <w:rsid w:val="00782873"/>
  </w:style>
  <w:style w:type="paragraph" w:customStyle="1" w:styleId="bulletindent2">
    <w:name w:val="bulletindent2"/>
    <w:basedOn w:val="a"/>
    <w:rsid w:val="007828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587B4A"/>
    <w:rPr>
      <w:i/>
      <w:iCs/>
    </w:rPr>
  </w:style>
  <w:style w:type="character" w:customStyle="1" w:styleId="1Char">
    <w:name w:val="Επικεφαλίδα 1 Char"/>
    <w:basedOn w:val="a0"/>
    <w:link w:val="1"/>
    <w:uiPriority w:val="9"/>
    <w:rsid w:val="007B6BBE"/>
    <w:rPr>
      <w:rFonts w:ascii="Times New Roman" w:eastAsia="Times New Roman" w:hAnsi="Times New Roman" w:cs="Times New Roman"/>
      <w:b/>
      <w:bCs/>
      <w:kern w:val="36"/>
      <w:sz w:val="48"/>
      <w:szCs w:val="48"/>
      <w:lang w:eastAsia="el-GR"/>
    </w:rPr>
  </w:style>
  <w:style w:type="table" w:styleId="a4">
    <w:name w:val="Table Grid"/>
    <w:basedOn w:val="a1"/>
    <w:uiPriority w:val="59"/>
    <w:unhideWhenUsed/>
    <w:rsid w:val="0017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17233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7233C"/>
    <w:rPr>
      <w:rFonts w:ascii="Tahoma" w:hAnsi="Tahoma" w:cs="Tahoma"/>
      <w:sz w:val="16"/>
      <w:szCs w:val="16"/>
    </w:rPr>
  </w:style>
  <w:style w:type="paragraph" w:styleId="a6">
    <w:name w:val="header"/>
    <w:basedOn w:val="a"/>
    <w:link w:val="Char0"/>
    <w:uiPriority w:val="99"/>
    <w:unhideWhenUsed/>
    <w:rsid w:val="00D60057"/>
    <w:pPr>
      <w:tabs>
        <w:tab w:val="center" w:pos="4153"/>
        <w:tab w:val="right" w:pos="8306"/>
      </w:tabs>
      <w:spacing w:after="0" w:line="240" w:lineRule="auto"/>
    </w:pPr>
  </w:style>
  <w:style w:type="character" w:customStyle="1" w:styleId="Char0">
    <w:name w:val="Κεφαλίδα Char"/>
    <w:basedOn w:val="a0"/>
    <w:link w:val="a6"/>
    <w:uiPriority w:val="99"/>
    <w:rsid w:val="00D60057"/>
  </w:style>
  <w:style w:type="paragraph" w:styleId="a7">
    <w:name w:val="footer"/>
    <w:basedOn w:val="a"/>
    <w:link w:val="Char1"/>
    <w:uiPriority w:val="99"/>
    <w:unhideWhenUsed/>
    <w:rsid w:val="00D60057"/>
    <w:pPr>
      <w:tabs>
        <w:tab w:val="center" w:pos="4153"/>
        <w:tab w:val="right" w:pos="8306"/>
      </w:tabs>
      <w:spacing w:after="0" w:line="240" w:lineRule="auto"/>
    </w:pPr>
  </w:style>
  <w:style w:type="character" w:customStyle="1" w:styleId="Char1">
    <w:name w:val="Υποσέλιδο Char"/>
    <w:basedOn w:val="a0"/>
    <w:link w:val="a7"/>
    <w:uiPriority w:val="99"/>
    <w:rsid w:val="00D6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9175">
      <w:bodyDiv w:val="1"/>
      <w:marLeft w:val="0"/>
      <w:marRight w:val="0"/>
      <w:marTop w:val="0"/>
      <w:marBottom w:val="0"/>
      <w:divBdr>
        <w:top w:val="none" w:sz="0" w:space="0" w:color="auto"/>
        <w:left w:val="none" w:sz="0" w:space="0" w:color="auto"/>
        <w:bottom w:val="none" w:sz="0" w:space="0" w:color="auto"/>
        <w:right w:val="none" w:sz="0" w:space="0" w:color="auto"/>
      </w:divBdr>
    </w:div>
    <w:div w:id="328876337">
      <w:bodyDiv w:val="1"/>
      <w:marLeft w:val="0"/>
      <w:marRight w:val="0"/>
      <w:marTop w:val="0"/>
      <w:marBottom w:val="0"/>
      <w:divBdr>
        <w:top w:val="none" w:sz="0" w:space="0" w:color="auto"/>
        <w:left w:val="none" w:sz="0" w:space="0" w:color="auto"/>
        <w:bottom w:val="none" w:sz="0" w:space="0" w:color="auto"/>
        <w:right w:val="none" w:sz="0" w:space="0" w:color="auto"/>
      </w:divBdr>
    </w:div>
    <w:div w:id="636571001">
      <w:bodyDiv w:val="1"/>
      <w:marLeft w:val="0"/>
      <w:marRight w:val="0"/>
      <w:marTop w:val="0"/>
      <w:marBottom w:val="0"/>
      <w:divBdr>
        <w:top w:val="none" w:sz="0" w:space="0" w:color="auto"/>
        <w:left w:val="none" w:sz="0" w:space="0" w:color="auto"/>
        <w:bottom w:val="none" w:sz="0" w:space="0" w:color="auto"/>
        <w:right w:val="none" w:sz="0" w:space="0" w:color="auto"/>
      </w:divBdr>
    </w:div>
    <w:div w:id="667902034">
      <w:bodyDiv w:val="1"/>
      <w:marLeft w:val="0"/>
      <w:marRight w:val="0"/>
      <w:marTop w:val="0"/>
      <w:marBottom w:val="0"/>
      <w:divBdr>
        <w:top w:val="none" w:sz="0" w:space="0" w:color="auto"/>
        <w:left w:val="none" w:sz="0" w:space="0" w:color="auto"/>
        <w:bottom w:val="none" w:sz="0" w:space="0" w:color="auto"/>
        <w:right w:val="none" w:sz="0" w:space="0" w:color="auto"/>
      </w:divBdr>
      <w:divsChild>
        <w:div w:id="1004892346">
          <w:marLeft w:val="240"/>
          <w:marRight w:val="0"/>
          <w:marTop w:val="120"/>
          <w:marBottom w:val="0"/>
          <w:divBdr>
            <w:top w:val="none" w:sz="0" w:space="0" w:color="auto"/>
            <w:left w:val="none" w:sz="0" w:space="0" w:color="auto"/>
            <w:bottom w:val="none" w:sz="0" w:space="0" w:color="auto"/>
            <w:right w:val="none" w:sz="0" w:space="0" w:color="auto"/>
          </w:divBdr>
        </w:div>
        <w:div w:id="736440301">
          <w:marLeft w:val="240"/>
          <w:marRight w:val="0"/>
          <w:marTop w:val="120"/>
          <w:marBottom w:val="0"/>
          <w:divBdr>
            <w:top w:val="none" w:sz="0" w:space="0" w:color="auto"/>
            <w:left w:val="none" w:sz="0" w:space="0" w:color="auto"/>
            <w:bottom w:val="none" w:sz="0" w:space="0" w:color="auto"/>
            <w:right w:val="none" w:sz="0" w:space="0" w:color="auto"/>
          </w:divBdr>
        </w:div>
        <w:div w:id="705064854">
          <w:marLeft w:val="240"/>
          <w:marRight w:val="0"/>
          <w:marTop w:val="120"/>
          <w:marBottom w:val="0"/>
          <w:divBdr>
            <w:top w:val="none" w:sz="0" w:space="0" w:color="auto"/>
            <w:left w:val="none" w:sz="0" w:space="0" w:color="auto"/>
            <w:bottom w:val="none" w:sz="0" w:space="0" w:color="auto"/>
            <w:right w:val="none" w:sz="0" w:space="0" w:color="auto"/>
          </w:divBdr>
        </w:div>
        <w:div w:id="1955014166">
          <w:marLeft w:val="240"/>
          <w:marRight w:val="0"/>
          <w:marTop w:val="120"/>
          <w:marBottom w:val="0"/>
          <w:divBdr>
            <w:top w:val="none" w:sz="0" w:space="0" w:color="auto"/>
            <w:left w:val="none" w:sz="0" w:space="0" w:color="auto"/>
            <w:bottom w:val="none" w:sz="0" w:space="0" w:color="auto"/>
            <w:right w:val="none" w:sz="0" w:space="0" w:color="auto"/>
          </w:divBdr>
        </w:div>
      </w:divsChild>
    </w:div>
    <w:div w:id="670066688">
      <w:bodyDiv w:val="1"/>
      <w:marLeft w:val="0"/>
      <w:marRight w:val="0"/>
      <w:marTop w:val="0"/>
      <w:marBottom w:val="0"/>
      <w:divBdr>
        <w:top w:val="none" w:sz="0" w:space="0" w:color="auto"/>
        <w:left w:val="none" w:sz="0" w:space="0" w:color="auto"/>
        <w:bottom w:val="none" w:sz="0" w:space="0" w:color="auto"/>
        <w:right w:val="none" w:sz="0" w:space="0" w:color="auto"/>
      </w:divBdr>
    </w:div>
    <w:div w:id="706108231">
      <w:bodyDiv w:val="1"/>
      <w:marLeft w:val="0"/>
      <w:marRight w:val="0"/>
      <w:marTop w:val="0"/>
      <w:marBottom w:val="0"/>
      <w:divBdr>
        <w:top w:val="none" w:sz="0" w:space="0" w:color="auto"/>
        <w:left w:val="none" w:sz="0" w:space="0" w:color="auto"/>
        <w:bottom w:val="none" w:sz="0" w:space="0" w:color="auto"/>
        <w:right w:val="none" w:sz="0" w:space="0" w:color="auto"/>
      </w:divBdr>
    </w:div>
    <w:div w:id="742065570">
      <w:bodyDiv w:val="1"/>
      <w:marLeft w:val="0"/>
      <w:marRight w:val="0"/>
      <w:marTop w:val="0"/>
      <w:marBottom w:val="0"/>
      <w:divBdr>
        <w:top w:val="none" w:sz="0" w:space="0" w:color="auto"/>
        <w:left w:val="none" w:sz="0" w:space="0" w:color="auto"/>
        <w:bottom w:val="none" w:sz="0" w:space="0" w:color="auto"/>
        <w:right w:val="none" w:sz="0" w:space="0" w:color="auto"/>
      </w:divBdr>
    </w:div>
    <w:div w:id="752167015">
      <w:bodyDiv w:val="1"/>
      <w:marLeft w:val="0"/>
      <w:marRight w:val="0"/>
      <w:marTop w:val="0"/>
      <w:marBottom w:val="0"/>
      <w:divBdr>
        <w:top w:val="none" w:sz="0" w:space="0" w:color="auto"/>
        <w:left w:val="none" w:sz="0" w:space="0" w:color="auto"/>
        <w:bottom w:val="none" w:sz="0" w:space="0" w:color="auto"/>
        <w:right w:val="none" w:sz="0" w:space="0" w:color="auto"/>
      </w:divBdr>
    </w:div>
    <w:div w:id="754476837">
      <w:bodyDiv w:val="1"/>
      <w:marLeft w:val="0"/>
      <w:marRight w:val="0"/>
      <w:marTop w:val="0"/>
      <w:marBottom w:val="0"/>
      <w:divBdr>
        <w:top w:val="none" w:sz="0" w:space="0" w:color="auto"/>
        <w:left w:val="none" w:sz="0" w:space="0" w:color="auto"/>
        <w:bottom w:val="none" w:sz="0" w:space="0" w:color="auto"/>
        <w:right w:val="none" w:sz="0" w:space="0" w:color="auto"/>
      </w:divBdr>
    </w:div>
    <w:div w:id="971443580">
      <w:bodyDiv w:val="1"/>
      <w:marLeft w:val="0"/>
      <w:marRight w:val="0"/>
      <w:marTop w:val="0"/>
      <w:marBottom w:val="0"/>
      <w:divBdr>
        <w:top w:val="none" w:sz="0" w:space="0" w:color="auto"/>
        <w:left w:val="none" w:sz="0" w:space="0" w:color="auto"/>
        <w:bottom w:val="none" w:sz="0" w:space="0" w:color="auto"/>
        <w:right w:val="none" w:sz="0" w:space="0" w:color="auto"/>
      </w:divBdr>
    </w:div>
    <w:div w:id="1046375386">
      <w:bodyDiv w:val="1"/>
      <w:marLeft w:val="0"/>
      <w:marRight w:val="0"/>
      <w:marTop w:val="0"/>
      <w:marBottom w:val="0"/>
      <w:divBdr>
        <w:top w:val="none" w:sz="0" w:space="0" w:color="auto"/>
        <w:left w:val="none" w:sz="0" w:space="0" w:color="auto"/>
        <w:bottom w:val="none" w:sz="0" w:space="0" w:color="auto"/>
        <w:right w:val="none" w:sz="0" w:space="0" w:color="auto"/>
      </w:divBdr>
    </w:div>
    <w:div w:id="1222600991">
      <w:bodyDiv w:val="1"/>
      <w:marLeft w:val="0"/>
      <w:marRight w:val="0"/>
      <w:marTop w:val="0"/>
      <w:marBottom w:val="0"/>
      <w:divBdr>
        <w:top w:val="none" w:sz="0" w:space="0" w:color="auto"/>
        <w:left w:val="none" w:sz="0" w:space="0" w:color="auto"/>
        <w:bottom w:val="none" w:sz="0" w:space="0" w:color="auto"/>
        <w:right w:val="none" w:sz="0" w:space="0" w:color="auto"/>
      </w:divBdr>
    </w:div>
    <w:div w:id="1355771090">
      <w:bodyDiv w:val="1"/>
      <w:marLeft w:val="0"/>
      <w:marRight w:val="0"/>
      <w:marTop w:val="0"/>
      <w:marBottom w:val="0"/>
      <w:divBdr>
        <w:top w:val="none" w:sz="0" w:space="0" w:color="auto"/>
        <w:left w:val="none" w:sz="0" w:space="0" w:color="auto"/>
        <w:bottom w:val="none" w:sz="0" w:space="0" w:color="auto"/>
        <w:right w:val="none" w:sz="0" w:space="0" w:color="auto"/>
      </w:divBdr>
    </w:div>
    <w:div w:id="1377924874">
      <w:bodyDiv w:val="1"/>
      <w:marLeft w:val="0"/>
      <w:marRight w:val="0"/>
      <w:marTop w:val="0"/>
      <w:marBottom w:val="0"/>
      <w:divBdr>
        <w:top w:val="none" w:sz="0" w:space="0" w:color="auto"/>
        <w:left w:val="none" w:sz="0" w:space="0" w:color="auto"/>
        <w:bottom w:val="none" w:sz="0" w:space="0" w:color="auto"/>
        <w:right w:val="none" w:sz="0" w:space="0" w:color="auto"/>
      </w:divBdr>
    </w:div>
    <w:div w:id="1571185221">
      <w:bodyDiv w:val="1"/>
      <w:marLeft w:val="0"/>
      <w:marRight w:val="0"/>
      <w:marTop w:val="0"/>
      <w:marBottom w:val="0"/>
      <w:divBdr>
        <w:top w:val="none" w:sz="0" w:space="0" w:color="auto"/>
        <w:left w:val="none" w:sz="0" w:space="0" w:color="auto"/>
        <w:bottom w:val="none" w:sz="0" w:space="0" w:color="auto"/>
        <w:right w:val="none" w:sz="0" w:space="0" w:color="auto"/>
      </w:divBdr>
    </w:div>
    <w:div w:id="1584026552">
      <w:bodyDiv w:val="1"/>
      <w:marLeft w:val="0"/>
      <w:marRight w:val="0"/>
      <w:marTop w:val="0"/>
      <w:marBottom w:val="0"/>
      <w:divBdr>
        <w:top w:val="none" w:sz="0" w:space="0" w:color="auto"/>
        <w:left w:val="none" w:sz="0" w:space="0" w:color="auto"/>
        <w:bottom w:val="none" w:sz="0" w:space="0" w:color="auto"/>
        <w:right w:val="none" w:sz="0" w:space="0" w:color="auto"/>
      </w:divBdr>
    </w:div>
    <w:div w:id="1596942149">
      <w:bodyDiv w:val="1"/>
      <w:marLeft w:val="0"/>
      <w:marRight w:val="0"/>
      <w:marTop w:val="0"/>
      <w:marBottom w:val="0"/>
      <w:divBdr>
        <w:top w:val="none" w:sz="0" w:space="0" w:color="auto"/>
        <w:left w:val="none" w:sz="0" w:space="0" w:color="auto"/>
        <w:bottom w:val="none" w:sz="0" w:space="0" w:color="auto"/>
        <w:right w:val="none" w:sz="0" w:space="0" w:color="auto"/>
      </w:divBdr>
      <w:divsChild>
        <w:div w:id="2005472876">
          <w:marLeft w:val="240"/>
          <w:marRight w:val="0"/>
          <w:marTop w:val="60"/>
          <w:marBottom w:val="0"/>
          <w:divBdr>
            <w:top w:val="none" w:sz="0" w:space="0" w:color="auto"/>
            <w:left w:val="none" w:sz="0" w:space="0" w:color="auto"/>
            <w:bottom w:val="none" w:sz="0" w:space="0" w:color="auto"/>
            <w:right w:val="none" w:sz="0" w:space="0" w:color="auto"/>
          </w:divBdr>
        </w:div>
        <w:div w:id="1213735067">
          <w:marLeft w:val="240"/>
          <w:marRight w:val="0"/>
          <w:marTop w:val="60"/>
          <w:marBottom w:val="0"/>
          <w:divBdr>
            <w:top w:val="none" w:sz="0" w:space="0" w:color="auto"/>
            <w:left w:val="none" w:sz="0" w:space="0" w:color="auto"/>
            <w:bottom w:val="none" w:sz="0" w:space="0" w:color="auto"/>
            <w:right w:val="none" w:sz="0" w:space="0" w:color="auto"/>
          </w:divBdr>
        </w:div>
      </w:divsChild>
    </w:div>
    <w:div w:id="1603142809">
      <w:bodyDiv w:val="1"/>
      <w:marLeft w:val="0"/>
      <w:marRight w:val="0"/>
      <w:marTop w:val="0"/>
      <w:marBottom w:val="0"/>
      <w:divBdr>
        <w:top w:val="none" w:sz="0" w:space="0" w:color="auto"/>
        <w:left w:val="none" w:sz="0" w:space="0" w:color="auto"/>
        <w:bottom w:val="none" w:sz="0" w:space="0" w:color="auto"/>
        <w:right w:val="none" w:sz="0" w:space="0" w:color="auto"/>
      </w:divBdr>
    </w:div>
    <w:div w:id="1739816719">
      <w:bodyDiv w:val="1"/>
      <w:marLeft w:val="0"/>
      <w:marRight w:val="0"/>
      <w:marTop w:val="0"/>
      <w:marBottom w:val="0"/>
      <w:divBdr>
        <w:top w:val="none" w:sz="0" w:space="0" w:color="auto"/>
        <w:left w:val="none" w:sz="0" w:space="0" w:color="auto"/>
        <w:bottom w:val="none" w:sz="0" w:space="0" w:color="auto"/>
        <w:right w:val="none" w:sz="0" w:space="0" w:color="auto"/>
      </w:divBdr>
    </w:div>
    <w:div w:id="1805192315">
      <w:bodyDiv w:val="1"/>
      <w:marLeft w:val="0"/>
      <w:marRight w:val="0"/>
      <w:marTop w:val="0"/>
      <w:marBottom w:val="0"/>
      <w:divBdr>
        <w:top w:val="none" w:sz="0" w:space="0" w:color="auto"/>
        <w:left w:val="none" w:sz="0" w:space="0" w:color="auto"/>
        <w:bottom w:val="none" w:sz="0" w:space="0" w:color="auto"/>
        <w:right w:val="none" w:sz="0" w:space="0" w:color="auto"/>
      </w:divBdr>
    </w:div>
    <w:div w:id="1807776815">
      <w:bodyDiv w:val="1"/>
      <w:marLeft w:val="0"/>
      <w:marRight w:val="0"/>
      <w:marTop w:val="0"/>
      <w:marBottom w:val="0"/>
      <w:divBdr>
        <w:top w:val="none" w:sz="0" w:space="0" w:color="auto"/>
        <w:left w:val="none" w:sz="0" w:space="0" w:color="auto"/>
        <w:bottom w:val="none" w:sz="0" w:space="0" w:color="auto"/>
        <w:right w:val="none" w:sz="0" w:space="0" w:color="auto"/>
      </w:divBdr>
    </w:div>
    <w:div w:id="1952394819">
      <w:bodyDiv w:val="1"/>
      <w:marLeft w:val="0"/>
      <w:marRight w:val="0"/>
      <w:marTop w:val="0"/>
      <w:marBottom w:val="0"/>
      <w:divBdr>
        <w:top w:val="none" w:sz="0" w:space="0" w:color="auto"/>
        <w:left w:val="none" w:sz="0" w:space="0" w:color="auto"/>
        <w:bottom w:val="none" w:sz="0" w:space="0" w:color="auto"/>
        <w:right w:val="none" w:sz="0" w:space="0" w:color="auto"/>
      </w:divBdr>
    </w:div>
    <w:div w:id="2049379787">
      <w:bodyDiv w:val="1"/>
      <w:marLeft w:val="0"/>
      <w:marRight w:val="0"/>
      <w:marTop w:val="0"/>
      <w:marBottom w:val="0"/>
      <w:divBdr>
        <w:top w:val="none" w:sz="0" w:space="0" w:color="auto"/>
        <w:left w:val="none" w:sz="0" w:space="0" w:color="auto"/>
        <w:bottom w:val="none" w:sz="0" w:space="0" w:color="auto"/>
        <w:right w:val="none" w:sz="0" w:space="0" w:color="auto"/>
      </w:divBdr>
    </w:div>
    <w:div w:id="2061664029">
      <w:bodyDiv w:val="1"/>
      <w:marLeft w:val="0"/>
      <w:marRight w:val="0"/>
      <w:marTop w:val="0"/>
      <w:marBottom w:val="0"/>
      <w:divBdr>
        <w:top w:val="none" w:sz="0" w:space="0" w:color="auto"/>
        <w:left w:val="none" w:sz="0" w:space="0" w:color="auto"/>
        <w:bottom w:val="none" w:sz="0" w:space="0" w:color="auto"/>
        <w:right w:val="none" w:sz="0" w:space="0" w:color="auto"/>
      </w:divBdr>
    </w:div>
    <w:div w:id="2062826413">
      <w:bodyDiv w:val="1"/>
      <w:marLeft w:val="0"/>
      <w:marRight w:val="0"/>
      <w:marTop w:val="0"/>
      <w:marBottom w:val="0"/>
      <w:divBdr>
        <w:top w:val="none" w:sz="0" w:space="0" w:color="auto"/>
        <w:left w:val="none" w:sz="0" w:space="0" w:color="auto"/>
        <w:bottom w:val="none" w:sz="0" w:space="0" w:color="auto"/>
        <w:right w:val="none" w:sz="0" w:space="0" w:color="auto"/>
      </w:divBdr>
    </w:div>
    <w:div w:id="2128546998">
      <w:bodyDiv w:val="1"/>
      <w:marLeft w:val="0"/>
      <w:marRight w:val="0"/>
      <w:marTop w:val="0"/>
      <w:marBottom w:val="0"/>
      <w:divBdr>
        <w:top w:val="none" w:sz="0" w:space="0" w:color="auto"/>
        <w:left w:val="none" w:sz="0" w:space="0" w:color="auto"/>
        <w:bottom w:val="none" w:sz="0" w:space="0" w:color="auto"/>
        <w:right w:val="none" w:sz="0" w:space="0" w:color="auto"/>
      </w:divBdr>
      <w:divsChild>
        <w:div w:id="272177274">
          <w:marLeft w:val="240"/>
          <w:marRight w:val="0"/>
          <w:marTop w:val="120"/>
          <w:marBottom w:val="0"/>
          <w:divBdr>
            <w:top w:val="none" w:sz="0" w:space="0" w:color="auto"/>
            <w:left w:val="none" w:sz="0" w:space="0" w:color="auto"/>
            <w:bottom w:val="none" w:sz="0" w:space="0" w:color="auto"/>
            <w:right w:val="none" w:sz="0" w:space="0" w:color="auto"/>
          </w:divBdr>
        </w:div>
        <w:div w:id="436366854">
          <w:marLeft w:val="24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prostate-cancer-risk-stratification-and-choice-of-initial-treatment/abstract/13,36" TargetMode="External"/><Relationship Id="rId13" Type="http://schemas.openxmlformats.org/officeDocument/2006/relationships/hyperlink" Target="https://www.uptodate.com/contents/prostate-cancer-risk-stratification-and-choice-of-initial-treatment/abstract/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ptodate.com/contents/prostate-cancer-risk-stratification-and-choice-of-initial-treatment/abstract/2" TargetMode="External"/><Relationship Id="rId12" Type="http://schemas.openxmlformats.org/officeDocument/2006/relationships/hyperlink" Target="https://www.uptodate.com/contents/prostate-cancer-risk-stratification-and-choice-of-initial-treatment/abstract/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todate.com/contents/prostate-cancer-risk-stratification-and-choice-of-initial-treatment/abstract/30" TargetMode="External"/><Relationship Id="rId5" Type="http://schemas.openxmlformats.org/officeDocument/2006/relationships/footnotes" Target="footnotes.xml"/><Relationship Id="rId15" Type="http://schemas.openxmlformats.org/officeDocument/2006/relationships/hyperlink" Target="https://clinicaltrials.gov/ct2/bye/rQoPWwoRrXS9-i-wudNgpQDxudhWudNzlXNiZip9Ei7ym67VZR05WK4wER0RA6h9Ei4L3BUgWwNG0it." TargetMode="External"/><Relationship Id="rId10" Type="http://schemas.openxmlformats.org/officeDocument/2006/relationships/hyperlink" Target="https://www.uptodate.com/contents/prostate-cancer-risk-stratification-and-choice-of-initial-treatment/abstract/28" TargetMode="External"/><Relationship Id="rId4" Type="http://schemas.openxmlformats.org/officeDocument/2006/relationships/webSettings" Target="webSettings.xml"/><Relationship Id="rId9" Type="http://schemas.openxmlformats.org/officeDocument/2006/relationships/hyperlink" Target="https://www.uptodate.com/contents/prostate-cancer-risk-stratification-and-choice-of-initial-treatment/abstract/2" TargetMode="External"/><Relationship Id="rId14" Type="http://schemas.openxmlformats.org/officeDocument/2006/relationships/hyperlink" Target="https://clinicaltrials.gov/ct2/bye/rQoPWwoRrXS9-i-wudNgpQDxudhWudNzlXNiZip9Ei7ym67VZRCwWK4nOK4tA6h9Ei4L3BUgWwNG0i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14</Pages>
  <Words>4460</Words>
  <Characters>24089</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athanasios.theodoropoulos@gmail.com</cp:lastModifiedBy>
  <cp:revision>37</cp:revision>
  <dcterms:created xsi:type="dcterms:W3CDTF">2021-05-27T15:57:00Z</dcterms:created>
  <dcterms:modified xsi:type="dcterms:W3CDTF">2023-05-04T13:29:00Z</dcterms:modified>
</cp:coreProperties>
</file>